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FCEF3" w14:textId="77777777" w:rsidR="00490EED" w:rsidRDefault="00490EED" w:rsidP="00490EED">
      <w:pPr>
        <w:ind w:left="-1134" w:right="-1198"/>
        <w:rPr>
          <w:rFonts w:cs="Arial"/>
          <w:bCs/>
          <w:i/>
          <w:iC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2"/>
        <w:gridCol w:w="2410"/>
        <w:gridCol w:w="283"/>
        <w:gridCol w:w="527"/>
        <w:gridCol w:w="3726"/>
        <w:gridCol w:w="2409"/>
      </w:tblGrid>
      <w:tr w:rsidR="002E2F1D" w:rsidRPr="00D51686" w14:paraId="03F51292" w14:textId="77777777" w:rsidTr="00D51686">
        <w:trPr>
          <w:trHeight w:val="284"/>
          <w:jc w:val="center"/>
        </w:trPr>
        <w:tc>
          <w:tcPr>
            <w:tcW w:w="10774" w:type="dxa"/>
            <w:gridSpan w:val="7"/>
            <w:shd w:val="clear" w:color="auto" w:fill="auto"/>
            <w:tcMar>
              <w:top w:w="57" w:type="dxa"/>
              <w:bottom w:w="57" w:type="dxa"/>
            </w:tcMar>
          </w:tcPr>
          <w:p w14:paraId="05B6DACB" w14:textId="1DB76B99" w:rsidR="00D51686" w:rsidRPr="00D51686" w:rsidRDefault="002E2F1D" w:rsidP="00D51686">
            <w:pPr>
              <w:jc w:val="center"/>
              <w:rPr>
                <w:rFonts w:ascii="Gill Sans MT" w:eastAsia="Arial Unicode MS" w:hAnsi="Gill Sans MT" w:cs="Arial Unicode MS"/>
                <w:bCs/>
                <w:iCs/>
                <w:sz w:val="72"/>
                <w:szCs w:val="72"/>
                <w:lang w:val="en-US"/>
              </w:rPr>
            </w:pPr>
            <w:r w:rsidRPr="00D51686">
              <w:rPr>
                <w:rFonts w:ascii="Gill Sans MT" w:eastAsia="Arial Unicode MS" w:hAnsi="Gill Sans MT" w:cs="Arial Unicode MS"/>
                <w:bCs/>
                <w:iCs/>
                <w:sz w:val="72"/>
                <w:szCs w:val="72"/>
                <w:lang w:val="en-US"/>
              </w:rPr>
              <w:t>Terry Gibson</w:t>
            </w:r>
            <w:r w:rsidR="00D51686" w:rsidRPr="00D51686">
              <w:rPr>
                <w:rFonts w:ascii="Gill Sans MT" w:eastAsia="Arial Unicode MS" w:hAnsi="Gill Sans MT" w:cs="Arial Unicode MS"/>
                <w:bCs/>
                <w:iCs/>
                <w:sz w:val="72"/>
                <w:szCs w:val="72"/>
                <w:lang w:val="en-US"/>
              </w:rPr>
              <w:t xml:space="preserve">   </w:t>
            </w:r>
          </w:p>
          <w:p w14:paraId="3455C41B" w14:textId="52F463A7" w:rsidR="002E2F1D" w:rsidRPr="00D51686" w:rsidRDefault="00D51686" w:rsidP="00D51686">
            <w:pPr>
              <w:jc w:val="center"/>
              <w:rPr>
                <w:rFonts w:ascii="Gill Sans MT" w:eastAsia="Arial Unicode MS" w:hAnsi="Gill Sans MT" w:cs="Arial Unicode MS"/>
                <w:bCs/>
                <w:iCs/>
                <w:sz w:val="32"/>
                <w:szCs w:val="32"/>
                <w:lang w:val="en-US"/>
              </w:rPr>
            </w:pPr>
            <w:r w:rsidRPr="00D51686">
              <w:rPr>
                <w:rFonts w:ascii="Gill Sans MT" w:eastAsia="Arial Unicode MS" w:hAnsi="Gill Sans MT" w:cs="Arial Unicode MS"/>
                <w:bCs/>
                <w:iCs/>
                <w:sz w:val="32"/>
                <w:szCs w:val="32"/>
                <w:lang w:val="en-US"/>
              </w:rPr>
              <w:t>www.inventing-futures.org</w:t>
            </w:r>
          </w:p>
          <w:p w14:paraId="59511E24" w14:textId="77777777" w:rsidR="002E2F1D" w:rsidRPr="00D51686" w:rsidRDefault="002E2F1D" w:rsidP="002E2F1D">
            <w:pPr>
              <w:jc w:val="both"/>
              <w:rPr>
                <w:rFonts w:ascii="Gill Sans MT" w:eastAsia="Arial Unicode MS" w:hAnsi="Gill Sans MT" w:cs="Arial Unicode MS"/>
                <w:bCs/>
                <w:iCs/>
                <w:lang w:val="en-US"/>
              </w:rPr>
            </w:pPr>
          </w:p>
          <w:p w14:paraId="17FE3F38" w14:textId="7685750F" w:rsidR="002E2F1D" w:rsidRPr="00D51686" w:rsidRDefault="002E2F1D" w:rsidP="000C7023">
            <w:pPr>
              <w:jc w:val="center"/>
              <w:rPr>
                <w:bCs/>
                <w:iCs/>
                <w:lang w:val="en-US"/>
              </w:rPr>
            </w:pPr>
            <w:r w:rsidRPr="00D51686">
              <w:rPr>
                <w:bCs/>
                <w:iCs/>
                <w:lang w:val="en-US"/>
              </w:rPr>
              <w:t>I work at the boundary between knowledge and practice with a particular focus on enabling groups, organisations and individuals to learn from their own practice, co-creating knowledge as a basis for action. Much of my own experience is in how group</w:t>
            </w:r>
            <w:r w:rsidR="00D51686" w:rsidRPr="00D51686">
              <w:rPr>
                <w:bCs/>
                <w:iCs/>
                <w:lang w:val="en-US"/>
              </w:rPr>
              <w:t>s</w:t>
            </w:r>
            <w:r w:rsidRPr="00D51686">
              <w:rPr>
                <w:bCs/>
                <w:iCs/>
                <w:lang w:val="en-US"/>
              </w:rPr>
              <w:t xml:space="preserve"> and communities in the developing world can </w:t>
            </w:r>
            <w:r w:rsidR="00D51686" w:rsidRPr="00D51686">
              <w:rPr>
                <w:bCs/>
                <w:iCs/>
                <w:lang w:val="en-US"/>
              </w:rPr>
              <w:t>invent new futures through action and learning. My work has taken me to urban and rural locations in over forty countries, providing a rich basis for my thinking and research and develop</w:t>
            </w:r>
            <w:r w:rsidR="003D63EC">
              <w:rPr>
                <w:bCs/>
                <w:iCs/>
                <w:lang w:val="en-US"/>
              </w:rPr>
              <w:t>ing my</w:t>
            </w:r>
            <w:r w:rsidR="00C72364">
              <w:rPr>
                <w:bCs/>
                <w:iCs/>
                <w:lang w:val="en-US"/>
              </w:rPr>
              <w:t xml:space="preserve"> research,</w:t>
            </w:r>
            <w:r w:rsidR="00D51686" w:rsidRPr="00D51686">
              <w:rPr>
                <w:bCs/>
                <w:iCs/>
                <w:lang w:val="en-US"/>
              </w:rPr>
              <w:t xml:space="preserve"> facilitation and communications skills. I recently spent seven years leading on the development of key action and learning programmes with the Global Network for Disaster Reduction. I </w:t>
            </w:r>
            <w:r w:rsidR="00D51686">
              <w:rPr>
                <w:bCs/>
                <w:iCs/>
                <w:lang w:val="en-US"/>
              </w:rPr>
              <w:t>currently</w:t>
            </w:r>
            <w:r w:rsidR="000C7023">
              <w:rPr>
                <w:bCs/>
                <w:iCs/>
                <w:lang w:val="en-US"/>
              </w:rPr>
              <w:t xml:space="preserve"> focus</w:t>
            </w:r>
            <w:r w:rsidR="00D51686" w:rsidRPr="00D51686">
              <w:rPr>
                <w:bCs/>
                <w:iCs/>
                <w:lang w:val="en-US"/>
              </w:rPr>
              <w:t xml:space="preserve"> on research and writing.</w:t>
            </w:r>
          </w:p>
          <w:p w14:paraId="524E835C" w14:textId="77777777" w:rsidR="002E2F1D" w:rsidRPr="00D51686" w:rsidRDefault="002E2F1D" w:rsidP="000C7023">
            <w:pPr>
              <w:jc w:val="center"/>
              <w:rPr>
                <w:bCs/>
                <w:iCs/>
                <w:lang w:val="en-US"/>
              </w:rPr>
            </w:pPr>
          </w:p>
          <w:p w14:paraId="57BBA49A" w14:textId="34904987" w:rsidR="00D51686" w:rsidRPr="00D51686" w:rsidRDefault="00D51686" w:rsidP="000C7023">
            <w:pPr>
              <w:jc w:val="center"/>
              <w:rPr>
                <w:bCs/>
                <w:iCs/>
                <w:lang w:val="en-US"/>
              </w:rPr>
            </w:pPr>
            <w:r w:rsidRPr="00D51686">
              <w:rPr>
                <w:bCs/>
                <w:iCs/>
                <w:lang w:val="en-US"/>
              </w:rPr>
              <w:t>Outside my professional practice I am involved in a wide range of community activities at our local church and also enjoy running, cycling and walking in the local Peak district and further afield, as well as playing and listening to music and enjoying the company of family and friends.</w:t>
            </w:r>
          </w:p>
          <w:p w14:paraId="7610F788" w14:textId="4D78F4D7" w:rsidR="002E2F1D" w:rsidRPr="00D51686" w:rsidRDefault="002E2F1D" w:rsidP="002E2F1D">
            <w:pPr>
              <w:jc w:val="both"/>
              <w:rPr>
                <w:bCs/>
                <w:iCs/>
                <w:lang w:val="en-US"/>
              </w:rPr>
            </w:pPr>
          </w:p>
        </w:tc>
      </w:tr>
      <w:tr w:rsidR="00490EED" w:rsidRPr="00FF5D19" w14:paraId="1700505E" w14:textId="77777777" w:rsidTr="00C15992">
        <w:trPr>
          <w:trHeight w:val="284"/>
          <w:jc w:val="center"/>
        </w:trPr>
        <w:tc>
          <w:tcPr>
            <w:tcW w:w="3829" w:type="dxa"/>
            <w:gridSpan w:val="3"/>
            <w:shd w:val="clear" w:color="auto" w:fill="D9D9D9"/>
            <w:tcMar>
              <w:top w:w="57" w:type="dxa"/>
              <w:bottom w:w="57" w:type="dxa"/>
            </w:tcMar>
          </w:tcPr>
          <w:p w14:paraId="21FB3930" w14:textId="77777777" w:rsidR="00490EED" w:rsidRPr="007800B4" w:rsidRDefault="00490EED" w:rsidP="000C7023">
            <w:pPr>
              <w:rPr>
                <w:b/>
                <w:bCs/>
                <w:iCs/>
                <w:lang w:val="en-US"/>
              </w:rPr>
            </w:pPr>
            <w:r w:rsidRPr="007800B4">
              <w:rPr>
                <w:b/>
                <w:bCs/>
                <w:iCs/>
                <w:lang w:val="en-US"/>
              </w:rPr>
              <w:t>Contact details</w:t>
            </w:r>
            <w:r>
              <w:rPr>
                <w:b/>
                <w:bCs/>
                <w:iCs/>
                <w:lang w:val="en-US"/>
              </w:rPr>
              <w:t>:</w:t>
            </w:r>
          </w:p>
        </w:tc>
        <w:tc>
          <w:tcPr>
            <w:tcW w:w="6945" w:type="dxa"/>
            <w:gridSpan w:val="4"/>
            <w:shd w:val="clear" w:color="auto" w:fill="auto"/>
          </w:tcPr>
          <w:p w14:paraId="3DCDB0B1" w14:textId="08A3DB8D" w:rsidR="00490EED" w:rsidRPr="007800B4" w:rsidRDefault="00FD7AE9" w:rsidP="000C7023">
            <w:pPr>
              <w:rPr>
                <w:b/>
                <w:bCs/>
                <w:iCs/>
                <w:lang w:val="en-US"/>
              </w:rPr>
            </w:pPr>
            <w:hyperlink r:id="rId5" w:history="1">
              <w:r w:rsidR="002E2F1D" w:rsidRPr="00D006B6">
                <w:rPr>
                  <w:rStyle w:val="Hyperlink"/>
                  <w:b/>
                  <w:bCs/>
                  <w:iCs/>
                  <w:lang w:val="en-US"/>
                </w:rPr>
                <w:t>Terry.gibson@inventing-futures.org</w:t>
              </w:r>
            </w:hyperlink>
            <w:r w:rsidR="002E2F1D">
              <w:rPr>
                <w:b/>
                <w:bCs/>
                <w:iCs/>
                <w:lang w:val="en-US"/>
              </w:rPr>
              <w:t>. +447887903658</w:t>
            </w:r>
          </w:p>
        </w:tc>
      </w:tr>
      <w:tr w:rsidR="00490EED" w:rsidRPr="00FF5D19" w14:paraId="69ED4ACF" w14:textId="77777777" w:rsidTr="00C15992">
        <w:trPr>
          <w:trHeight w:val="284"/>
          <w:jc w:val="center"/>
        </w:trPr>
        <w:tc>
          <w:tcPr>
            <w:tcW w:w="10774" w:type="dxa"/>
            <w:gridSpan w:val="7"/>
            <w:shd w:val="clear" w:color="auto" w:fill="D9D9D9"/>
            <w:tcMar>
              <w:top w:w="57" w:type="dxa"/>
              <w:bottom w:w="57" w:type="dxa"/>
            </w:tcMar>
          </w:tcPr>
          <w:p w14:paraId="0217E65E" w14:textId="4E835AC3" w:rsidR="00490EED" w:rsidRPr="007800B4" w:rsidRDefault="00490EED" w:rsidP="000C7023">
            <w:pPr>
              <w:rPr>
                <w:b/>
                <w:bCs/>
                <w:iCs/>
                <w:lang w:val="en-US"/>
              </w:rPr>
            </w:pPr>
            <w:r w:rsidRPr="007800B4">
              <w:rPr>
                <w:b/>
                <w:bCs/>
                <w:iCs/>
                <w:lang w:val="en-US"/>
              </w:rPr>
              <w:t xml:space="preserve">Education and </w:t>
            </w:r>
            <w:r w:rsidR="002E2F1D">
              <w:rPr>
                <w:b/>
                <w:bCs/>
                <w:iCs/>
                <w:lang w:val="en-US"/>
              </w:rPr>
              <w:t>Practice</w:t>
            </w:r>
            <w:r w:rsidRPr="007800B4">
              <w:rPr>
                <w:b/>
                <w:bCs/>
                <w:iCs/>
                <w:lang w:val="en-US"/>
              </w:rPr>
              <w:t xml:space="preserve"> </w:t>
            </w:r>
          </w:p>
        </w:tc>
      </w:tr>
      <w:tr w:rsidR="00490EED" w:rsidRPr="00FF5D19" w14:paraId="2261B097" w14:textId="77777777" w:rsidTr="00D86174">
        <w:trPr>
          <w:trHeight w:val="284"/>
          <w:jc w:val="center"/>
        </w:trPr>
        <w:tc>
          <w:tcPr>
            <w:tcW w:w="1277" w:type="dxa"/>
            <w:shd w:val="clear" w:color="auto" w:fill="D9D9D9"/>
            <w:tcMar>
              <w:top w:w="57" w:type="dxa"/>
              <w:bottom w:w="57" w:type="dxa"/>
            </w:tcMar>
          </w:tcPr>
          <w:p w14:paraId="0E3C913D" w14:textId="194E84F8" w:rsidR="00490EED" w:rsidRPr="007800B4" w:rsidRDefault="00490EED" w:rsidP="000C7023">
            <w:pPr>
              <w:rPr>
                <w:b/>
                <w:bCs/>
                <w:iCs/>
                <w:lang w:val="en-US"/>
              </w:rPr>
            </w:pPr>
            <w:r w:rsidRPr="007800B4">
              <w:rPr>
                <w:b/>
                <w:bCs/>
                <w:iCs/>
                <w:lang w:val="en-US"/>
              </w:rPr>
              <w:t xml:space="preserve">Period </w:t>
            </w:r>
          </w:p>
        </w:tc>
        <w:tc>
          <w:tcPr>
            <w:tcW w:w="3362" w:type="dxa"/>
            <w:gridSpan w:val="4"/>
            <w:shd w:val="clear" w:color="auto" w:fill="D9D9D9"/>
          </w:tcPr>
          <w:p w14:paraId="449C82C3" w14:textId="7F93FF90" w:rsidR="00490EED" w:rsidRPr="007800B4" w:rsidRDefault="002E2F1D" w:rsidP="000C7023">
            <w:pPr>
              <w:rPr>
                <w:b/>
                <w:bCs/>
                <w:iCs/>
                <w:lang w:val="en-US"/>
              </w:rPr>
            </w:pPr>
            <w:r>
              <w:rPr>
                <w:b/>
                <w:bCs/>
                <w:iCs/>
                <w:lang w:val="en-US"/>
              </w:rPr>
              <w:t>Activity</w:t>
            </w:r>
          </w:p>
        </w:tc>
        <w:tc>
          <w:tcPr>
            <w:tcW w:w="6135" w:type="dxa"/>
            <w:gridSpan w:val="2"/>
            <w:shd w:val="clear" w:color="auto" w:fill="D9D9D9"/>
            <w:vAlign w:val="center"/>
          </w:tcPr>
          <w:p w14:paraId="4351561F" w14:textId="4A1B5DBC" w:rsidR="00490EED" w:rsidRPr="007800B4" w:rsidRDefault="002E2F1D" w:rsidP="000C7023">
            <w:pPr>
              <w:rPr>
                <w:b/>
                <w:bCs/>
                <w:iCs/>
                <w:lang w:val="en-US"/>
              </w:rPr>
            </w:pPr>
            <w:r>
              <w:rPr>
                <w:b/>
                <w:bCs/>
                <w:iCs/>
                <w:lang w:val="en-US"/>
              </w:rPr>
              <w:t>Notes</w:t>
            </w:r>
          </w:p>
        </w:tc>
      </w:tr>
      <w:tr w:rsidR="00FD7AE9" w:rsidRPr="00FF5D19" w14:paraId="4DF47797" w14:textId="77777777" w:rsidTr="00D86174">
        <w:trPr>
          <w:trHeight w:val="284"/>
          <w:jc w:val="center"/>
        </w:trPr>
        <w:tc>
          <w:tcPr>
            <w:tcW w:w="1277" w:type="dxa"/>
            <w:shd w:val="clear" w:color="auto" w:fill="auto"/>
            <w:tcMar>
              <w:top w:w="57" w:type="dxa"/>
              <w:bottom w:w="57" w:type="dxa"/>
            </w:tcMar>
          </w:tcPr>
          <w:p w14:paraId="17ABA779" w14:textId="11FA8F4C" w:rsidR="00FD7AE9" w:rsidRDefault="00FD7AE9" w:rsidP="000C7023">
            <w:pPr>
              <w:rPr>
                <w:b/>
                <w:bCs/>
                <w:iCs/>
                <w:lang w:val="en-US"/>
              </w:rPr>
            </w:pPr>
            <w:r>
              <w:rPr>
                <w:b/>
                <w:bCs/>
                <w:iCs/>
                <w:lang w:val="en-US"/>
              </w:rPr>
              <w:t>2017-</w:t>
            </w:r>
          </w:p>
        </w:tc>
        <w:tc>
          <w:tcPr>
            <w:tcW w:w="3362" w:type="dxa"/>
            <w:gridSpan w:val="4"/>
            <w:shd w:val="clear" w:color="auto" w:fill="auto"/>
          </w:tcPr>
          <w:p w14:paraId="2F448587" w14:textId="4D277F64" w:rsidR="00FD7AE9" w:rsidRDefault="00FD7AE9" w:rsidP="000C7023">
            <w:pPr>
              <w:rPr>
                <w:b/>
                <w:bCs/>
                <w:iCs/>
                <w:lang w:val="en-US"/>
              </w:rPr>
            </w:pPr>
            <w:r>
              <w:rPr>
                <w:b/>
                <w:bCs/>
                <w:iCs/>
                <w:lang w:val="en-US"/>
              </w:rPr>
              <w:t>Knowledge e</w:t>
            </w:r>
            <w:bookmarkStart w:id="0" w:name="_GoBack"/>
            <w:bookmarkEnd w:id="0"/>
            <w:r>
              <w:rPr>
                <w:b/>
                <w:bCs/>
                <w:iCs/>
                <w:lang w:val="en-US"/>
              </w:rPr>
              <w:t>xchange fellow</w:t>
            </w:r>
          </w:p>
        </w:tc>
        <w:tc>
          <w:tcPr>
            <w:tcW w:w="6135" w:type="dxa"/>
            <w:gridSpan w:val="2"/>
            <w:shd w:val="clear" w:color="auto" w:fill="auto"/>
          </w:tcPr>
          <w:p w14:paraId="72C36B33" w14:textId="54581DCA" w:rsidR="00FD7AE9" w:rsidRPr="000C7023" w:rsidRDefault="00FD7AE9" w:rsidP="000C7023">
            <w:pPr>
              <w:rPr>
                <w:bCs/>
                <w:iCs/>
                <w:lang w:val="en-US"/>
              </w:rPr>
            </w:pPr>
            <w:r>
              <w:rPr>
                <w:bCs/>
                <w:iCs/>
                <w:lang w:val="en-US"/>
              </w:rPr>
              <w:t>At SPAIS, University of Bristol</w:t>
            </w:r>
          </w:p>
        </w:tc>
      </w:tr>
      <w:tr w:rsidR="002E2F1D" w:rsidRPr="00FF5D19" w14:paraId="6CAB34AB" w14:textId="77777777" w:rsidTr="00D86174">
        <w:trPr>
          <w:trHeight w:val="284"/>
          <w:jc w:val="center"/>
        </w:trPr>
        <w:tc>
          <w:tcPr>
            <w:tcW w:w="1277" w:type="dxa"/>
            <w:shd w:val="clear" w:color="auto" w:fill="auto"/>
            <w:tcMar>
              <w:top w:w="57" w:type="dxa"/>
              <w:bottom w:w="57" w:type="dxa"/>
            </w:tcMar>
          </w:tcPr>
          <w:p w14:paraId="4290E406" w14:textId="7F106C1E" w:rsidR="002E2F1D" w:rsidRDefault="002E2F1D" w:rsidP="000C7023">
            <w:pPr>
              <w:rPr>
                <w:b/>
                <w:bCs/>
                <w:iCs/>
                <w:lang w:val="en-US"/>
              </w:rPr>
            </w:pPr>
            <w:r>
              <w:rPr>
                <w:b/>
                <w:bCs/>
                <w:iCs/>
                <w:lang w:val="en-US"/>
              </w:rPr>
              <w:t>2016-</w:t>
            </w:r>
          </w:p>
        </w:tc>
        <w:tc>
          <w:tcPr>
            <w:tcW w:w="3362" w:type="dxa"/>
            <w:gridSpan w:val="4"/>
            <w:shd w:val="clear" w:color="auto" w:fill="auto"/>
          </w:tcPr>
          <w:p w14:paraId="4B8889D4" w14:textId="3410BF99" w:rsidR="002E2F1D" w:rsidRDefault="002E2F1D" w:rsidP="000C7023">
            <w:pPr>
              <w:rPr>
                <w:b/>
                <w:bCs/>
                <w:iCs/>
                <w:lang w:val="en-US"/>
              </w:rPr>
            </w:pPr>
            <w:r>
              <w:rPr>
                <w:b/>
                <w:bCs/>
                <w:iCs/>
                <w:lang w:val="en-US"/>
              </w:rPr>
              <w:t>Independent researcher and consultant</w:t>
            </w:r>
          </w:p>
        </w:tc>
        <w:tc>
          <w:tcPr>
            <w:tcW w:w="6135" w:type="dxa"/>
            <w:gridSpan w:val="2"/>
            <w:shd w:val="clear" w:color="auto" w:fill="auto"/>
          </w:tcPr>
          <w:p w14:paraId="501C6713" w14:textId="1F805521" w:rsidR="002E2F1D" w:rsidRPr="000C7023" w:rsidRDefault="000C7023" w:rsidP="000C7023">
            <w:pPr>
              <w:rPr>
                <w:bCs/>
                <w:iCs/>
                <w:lang w:val="en-US"/>
              </w:rPr>
            </w:pPr>
            <w:r w:rsidRPr="000C7023">
              <w:rPr>
                <w:bCs/>
                <w:iCs/>
                <w:lang w:val="en-US"/>
              </w:rPr>
              <w:t>Research, development and i</w:t>
            </w:r>
            <w:r w:rsidR="002E2F1D" w:rsidRPr="000C7023">
              <w:rPr>
                <w:bCs/>
                <w:iCs/>
                <w:lang w:val="en-US"/>
              </w:rPr>
              <w:t xml:space="preserve">nnovation based on action learning. </w:t>
            </w:r>
          </w:p>
        </w:tc>
      </w:tr>
      <w:tr w:rsidR="00490EED" w:rsidRPr="00FF5D19" w14:paraId="1515E862" w14:textId="77777777" w:rsidTr="00D86174">
        <w:trPr>
          <w:trHeight w:val="284"/>
          <w:jc w:val="center"/>
        </w:trPr>
        <w:tc>
          <w:tcPr>
            <w:tcW w:w="1277" w:type="dxa"/>
            <w:shd w:val="clear" w:color="auto" w:fill="auto"/>
            <w:tcMar>
              <w:top w:w="57" w:type="dxa"/>
              <w:bottom w:w="57" w:type="dxa"/>
            </w:tcMar>
          </w:tcPr>
          <w:p w14:paraId="18C055B8" w14:textId="65F18C8E" w:rsidR="00490EED" w:rsidRPr="007800B4" w:rsidRDefault="00C15992" w:rsidP="000C7023">
            <w:pPr>
              <w:rPr>
                <w:b/>
                <w:bCs/>
                <w:iCs/>
                <w:lang w:val="en-US"/>
              </w:rPr>
            </w:pPr>
            <w:r>
              <w:rPr>
                <w:b/>
                <w:bCs/>
                <w:iCs/>
                <w:lang w:val="en-US"/>
              </w:rPr>
              <w:t>2008-</w:t>
            </w:r>
            <w:r w:rsidR="00D86174">
              <w:rPr>
                <w:b/>
                <w:bCs/>
                <w:iCs/>
                <w:lang w:val="en-US"/>
              </w:rPr>
              <w:t>2016</w:t>
            </w:r>
          </w:p>
        </w:tc>
        <w:tc>
          <w:tcPr>
            <w:tcW w:w="3362" w:type="dxa"/>
            <w:gridSpan w:val="4"/>
            <w:shd w:val="clear" w:color="auto" w:fill="auto"/>
          </w:tcPr>
          <w:p w14:paraId="25A5248D" w14:textId="77777777" w:rsidR="00490EED" w:rsidRPr="007800B4" w:rsidRDefault="00C15992" w:rsidP="000C7023">
            <w:pPr>
              <w:rPr>
                <w:b/>
                <w:bCs/>
                <w:iCs/>
                <w:lang w:val="en-US"/>
              </w:rPr>
            </w:pPr>
            <w:r>
              <w:rPr>
                <w:b/>
                <w:bCs/>
                <w:iCs/>
                <w:lang w:val="en-US"/>
              </w:rPr>
              <w:t>Operations director: Global Network for Disaster Reduction</w:t>
            </w:r>
          </w:p>
        </w:tc>
        <w:tc>
          <w:tcPr>
            <w:tcW w:w="6135" w:type="dxa"/>
            <w:gridSpan w:val="2"/>
            <w:shd w:val="clear" w:color="auto" w:fill="auto"/>
          </w:tcPr>
          <w:p w14:paraId="4B77EB3F" w14:textId="77777777" w:rsidR="003905C6" w:rsidRPr="000C7023" w:rsidRDefault="003905C6" w:rsidP="000C7023">
            <w:pPr>
              <w:rPr>
                <w:bCs/>
                <w:iCs/>
                <w:lang w:val="en-US"/>
              </w:rPr>
            </w:pPr>
            <w:r w:rsidRPr="000C7023">
              <w:rPr>
                <w:bCs/>
                <w:iCs/>
                <w:lang w:val="en-US"/>
              </w:rPr>
              <w:t>Development and piloting of ‘Frontline’ local resilience profiling programme</w:t>
            </w:r>
          </w:p>
          <w:p w14:paraId="5288A84D" w14:textId="77777777" w:rsidR="00490EED" w:rsidRPr="000C7023" w:rsidRDefault="00C15992" w:rsidP="000C7023">
            <w:pPr>
              <w:rPr>
                <w:bCs/>
                <w:iCs/>
                <w:lang w:val="en-US"/>
              </w:rPr>
            </w:pPr>
            <w:r w:rsidRPr="000C7023">
              <w:rPr>
                <w:bCs/>
                <w:iCs/>
                <w:lang w:val="en-US"/>
              </w:rPr>
              <w:t>Development and mobilisation of Views from the Frontline 2009,2011,2013</w:t>
            </w:r>
          </w:p>
          <w:p w14:paraId="5FAD78B3" w14:textId="77777777" w:rsidR="00C15992" w:rsidRPr="000C7023" w:rsidRDefault="00C15992" w:rsidP="000C7023">
            <w:pPr>
              <w:rPr>
                <w:bCs/>
                <w:iCs/>
                <w:lang w:val="en-US"/>
              </w:rPr>
            </w:pPr>
            <w:r w:rsidRPr="000C7023">
              <w:rPr>
                <w:bCs/>
                <w:iCs/>
                <w:lang w:val="en-US"/>
              </w:rPr>
              <w:t xml:space="preserve">Development of </w:t>
            </w:r>
            <w:r w:rsidR="00626E0C" w:rsidRPr="000C7023">
              <w:rPr>
                <w:bCs/>
                <w:iCs/>
                <w:lang w:val="en-US"/>
              </w:rPr>
              <w:t>‘Action at the Frontline’ action research programme</w:t>
            </w:r>
          </w:p>
          <w:p w14:paraId="1CFC45FE" w14:textId="77777777" w:rsidR="00626E0C" w:rsidRPr="000C7023" w:rsidRDefault="00626E0C" w:rsidP="000C7023">
            <w:pPr>
              <w:rPr>
                <w:bCs/>
                <w:iCs/>
                <w:sz w:val="28"/>
                <w:szCs w:val="28"/>
                <w:lang w:val="en-US"/>
              </w:rPr>
            </w:pPr>
            <w:r w:rsidRPr="000C7023">
              <w:rPr>
                <w:bCs/>
                <w:iCs/>
                <w:lang w:val="en-US"/>
              </w:rPr>
              <w:t>Development of network membership, communications and learning.</w:t>
            </w:r>
          </w:p>
        </w:tc>
      </w:tr>
      <w:tr w:rsidR="00D86174" w:rsidRPr="00FF5D19" w14:paraId="56D83278" w14:textId="77777777" w:rsidTr="0055211A">
        <w:trPr>
          <w:trHeight w:val="284"/>
          <w:jc w:val="center"/>
        </w:trPr>
        <w:tc>
          <w:tcPr>
            <w:tcW w:w="1277" w:type="dxa"/>
            <w:shd w:val="clear" w:color="auto" w:fill="auto"/>
            <w:tcMar>
              <w:top w:w="57" w:type="dxa"/>
              <w:bottom w:w="57" w:type="dxa"/>
            </w:tcMar>
          </w:tcPr>
          <w:p w14:paraId="7B31A636" w14:textId="02F403EF" w:rsidR="00D86174" w:rsidRPr="007800B4" w:rsidRDefault="00D86174" w:rsidP="000C7023">
            <w:pPr>
              <w:rPr>
                <w:b/>
                <w:bCs/>
                <w:iCs/>
                <w:lang w:val="en-US"/>
              </w:rPr>
            </w:pPr>
            <w:r>
              <w:rPr>
                <w:b/>
                <w:bCs/>
                <w:iCs/>
                <w:lang w:val="en-US"/>
              </w:rPr>
              <w:t>2005-2011</w:t>
            </w:r>
          </w:p>
        </w:tc>
        <w:tc>
          <w:tcPr>
            <w:tcW w:w="3362" w:type="dxa"/>
            <w:gridSpan w:val="4"/>
            <w:shd w:val="clear" w:color="auto" w:fill="auto"/>
          </w:tcPr>
          <w:p w14:paraId="3AC24D2B" w14:textId="77777777" w:rsidR="00D86174" w:rsidRPr="007800B4" w:rsidRDefault="00D86174" w:rsidP="000C7023">
            <w:pPr>
              <w:rPr>
                <w:b/>
                <w:bCs/>
                <w:iCs/>
                <w:lang w:val="en-US"/>
              </w:rPr>
            </w:pPr>
            <w:r>
              <w:rPr>
                <w:b/>
                <w:bCs/>
                <w:iCs/>
                <w:lang w:val="en-US"/>
              </w:rPr>
              <w:t>Manchester University Institute of Development and Policy Management</w:t>
            </w:r>
          </w:p>
        </w:tc>
        <w:tc>
          <w:tcPr>
            <w:tcW w:w="6135" w:type="dxa"/>
            <w:gridSpan w:val="2"/>
            <w:shd w:val="clear" w:color="auto" w:fill="auto"/>
          </w:tcPr>
          <w:p w14:paraId="4B1745A9" w14:textId="1069A929" w:rsidR="00D86174" w:rsidRPr="000C7023" w:rsidRDefault="00D86174" w:rsidP="000C7023">
            <w:pPr>
              <w:rPr>
                <w:bCs/>
                <w:iCs/>
                <w:lang w:val="en-US"/>
              </w:rPr>
            </w:pPr>
            <w:r w:rsidRPr="000C7023">
              <w:rPr>
                <w:bCs/>
                <w:iCs/>
                <w:lang w:val="en-US"/>
              </w:rPr>
              <w:t>Ph.D</w:t>
            </w:r>
            <w:r w:rsidR="002E2F1D" w:rsidRPr="000C7023">
              <w:rPr>
                <w:bCs/>
                <w:iCs/>
                <w:lang w:val="en-US"/>
              </w:rPr>
              <w:t>: ‘Horizontal Learning and Social Media in an International Development Network’</w:t>
            </w:r>
          </w:p>
        </w:tc>
      </w:tr>
      <w:tr w:rsidR="002E2F1D" w:rsidRPr="00FF5D19" w14:paraId="02A57840" w14:textId="77777777" w:rsidTr="0055211A">
        <w:trPr>
          <w:trHeight w:val="284"/>
          <w:jc w:val="center"/>
        </w:trPr>
        <w:tc>
          <w:tcPr>
            <w:tcW w:w="1277" w:type="dxa"/>
            <w:shd w:val="clear" w:color="auto" w:fill="auto"/>
            <w:tcMar>
              <w:top w:w="57" w:type="dxa"/>
              <w:bottom w:w="57" w:type="dxa"/>
            </w:tcMar>
          </w:tcPr>
          <w:p w14:paraId="21FF6A8E" w14:textId="77777777" w:rsidR="002E2F1D" w:rsidRPr="007800B4" w:rsidRDefault="002E2F1D" w:rsidP="000C7023">
            <w:pPr>
              <w:rPr>
                <w:b/>
                <w:bCs/>
                <w:iCs/>
                <w:lang w:val="en-US"/>
              </w:rPr>
            </w:pPr>
            <w:r>
              <w:rPr>
                <w:b/>
                <w:bCs/>
                <w:iCs/>
                <w:lang w:val="en-US"/>
              </w:rPr>
              <w:t>2005-2008</w:t>
            </w:r>
          </w:p>
        </w:tc>
        <w:tc>
          <w:tcPr>
            <w:tcW w:w="3362" w:type="dxa"/>
            <w:gridSpan w:val="4"/>
            <w:shd w:val="clear" w:color="auto" w:fill="auto"/>
          </w:tcPr>
          <w:p w14:paraId="5EA795DD" w14:textId="77777777" w:rsidR="002E2F1D" w:rsidRPr="007800B4" w:rsidRDefault="002E2F1D" w:rsidP="000C7023">
            <w:pPr>
              <w:rPr>
                <w:b/>
                <w:bCs/>
                <w:iCs/>
                <w:lang w:val="en-US"/>
              </w:rPr>
            </w:pPr>
            <w:r>
              <w:rPr>
                <w:b/>
                <w:bCs/>
                <w:iCs/>
                <w:lang w:val="en-US"/>
              </w:rPr>
              <w:t>Managing director: Media4change (Now M4C-sustainability)</w:t>
            </w:r>
          </w:p>
        </w:tc>
        <w:tc>
          <w:tcPr>
            <w:tcW w:w="6135" w:type="dxa"/>
            <w:gridSpan w:val="2"/>
            <w:shd w:val="clear" w:color="auto" w:fill="auto"/>
          </w:tcPr>
          <w:p w14:paraId="5E2D15AD" w14:textId="77777777" w:rsidR="002E2F1D" w:rsidRPr="000C7023" w:rsidRDefault="002E2F1D" w:rsidP="000C7023">
            <w:pPr>
              <w:rPr>
                <w:bCs/>
                <w:iCs/>
                <w:lang w:val="en-US"/>
              </w:rPr>
            </w:pPr>
            <w:r w:rsidRPr="000C7023">
              <w:rPr>
                <w:bCs/>
                <w:iCs/>
                <w:lang w:val="en-US"/>
              </w:rPr>
              <w:t>Founded this third sector company. Developed global Sustainability reporting system for Multinational company SABMiller. Research networks in international development</w:t>
            </w:r>
          </w:p>
        </w:tc>
      </w:tr>
      <w:tr w:rsidR="00D86174" w:rsidRPr="00FF5D19" w14:paraId="7CC52CBF" w14:textId="77777777" w:rsidTr="0055211A">
        <w:trPr>
          <w:trHeight w:val="284"/>
          <w:jc w:val="center"/>
        </w:trPr>
        <w:tc>
          <w:tcPr>
            <w:tcW w:w="1277" w:type="dxa"/>
            <w:shd w:val="clear" w:color="auto" w:fill="auto"/>
            <w:tcMar>
              <w:top w:w="57" w:type="dxa"/>
              <w:bottom w:w="57" w:type="dxa"/>
            </w:tcMar>
          </w:tcPr>
          <w:p w14:paraId="3F1509C6" w14:textId="33529A3E" w:rsidR="00D86174" w:rsidRPr="007800B4" w:rsidRDefault="00D86174" w:rsidP="000C7023">
            <w:pPr>
              <w:rPr>
                <w:b/>
                <w:bCs/>
                <w:iCs/>
                <w:lang w:val="en-US"/>
              </w:rPr>
            </w:pPr>
            <w:r>
              <w:rPr>
                <w:b/>
                <w:bCs/>
                <w:iCs/>
                <w:lang w:val="en-US"/>
              </w:rPr>
              <w:t>2003-2005</w:t>
            </w:r>
          </w:p>
        </w:tc>
        <w:tc>
          <w:tcPr>
            <w:tcW w:w="3362" w:type="dxa"/>
            <w:gridSpan w:val="4"/>
            <w:shd w:val="clear" w:color="auto" w:fill="auto"/>
          </w:tcPr>
          <w:p w14:paraId="2524C527" w14:textId="77777777" w:rsidR="00D86174" w:rsidRPr="007800B4" w:rsidRDefault="00D86174" w:rsidP="000C7023">
            <w:pPr>
              <w:rPr>
                <w:b/>
                <w:bCs/>
                <w:iCs/>
                <w:lang w:val="en-US"/>
              </w:rPr>
            </w:pPr>
            <w:r>
              <w:rPr>
                <w:b/>
                <w:bCs/>
                <w:iCs/>
                <w:lang w:val="en-US"/>
              </w:rPr>
              <w:t>Manchester University Institute of Development and Policy Management</w:t>
            </w:r>
          </w:p>
        </w:tc>
        <w:tc>
          <w:tcPr>
            <w:tcW w:w="6135" w:type="dxa"/>
            <w:gridSpan w:val="2"/>
            <w:shd w:val="clear" w:color="auto" w:fill="auto"/>
          </w:tcPr>
          <w:p w14:paraId="0EAC22F1" w14:textId="63EB8D21" w:rsidR="00D86174" w:rsidRPr="000C7023" w:rsidRDefault="00D86174" w:rsidP="000C7023">
            <w:pPr>
              <w:rPr>
                <w:bCs/>
                <w:iCs/>
                <w:lang w:val="en-US"/>
              </w:rPr>
            </w:pPr>
            <w:r w:rsidRPr="000C7023">
              <w:rPr>
                <w:bCs/>
                <w:iCs/>
                <w:lang w:val="en-US"/>
              </w:rPr>
              <w:t>M.Sc</w:t>
            </w:r>
            <w:r w:rsidR="002E2F1D" w:rsidRPr="000C7023">
              <w:rPr>
                <w:bCs/>
                <w:iCs/>
                <w:lang w:val="en-US"/>
              </w:rPr>
              <w:t>:</w:t>
            </w:r>
            <w:r w:rsidRPr="000C7023">
              <w:rPr>
                <w:bCs/>
                <w:iCs/>
                <w:lang w:val="en-US"/>
              </w:rPr>
              <w:t xml:space="preserve"> </w:t>
            </w:r>
            <w:r w:rsidR="002E2F1D" w:rsidRPr="000C7023">
              <w:rPr>
                <w:bCs/>
                <w:iCs/>
                <w:lang w:val="en-US"/>
              </w:rPr>
              <w:t>‘</w:t>
            </w:r>
            <w:r w:rsidRPr="000C7023">
              <w:rPr>
                <w:bCs/>
                <w:iCs/>
                <w:lang w:val="en-US"/>
              </w:rPr>
              <w:t>Globalisation and Development</w:t>
            </w:r>
            <w:r w:rsidR="002E2F1D" w:rsidRPr="000C7023">
              <w:rPr>
                <w:bCs/>
                <w:iCs/>
                <w:lang w:val="en-US"/>
              </w:rPr>
              <w:t>’</w:t>
            </w:r>
          </w:p>
        </w:tc>
      </w:tr>
      <w:tr w:rsidR="00D86174" w:rsidRPr="00FF5D19" w14:paraId="7E3E86E2" w14:textId="77777777" w:rsidTr="00D86174">
        <w:trPr>
          <w:trHeight w:val="284"/>
          <w:jc w:val="center"/>
        </w:trPr>
        <w:tc>
          <w:tcPr>
            <w:tcW w:w="1277" w:type="dxa"/>
            <w:shd w:val="clear" w:color="auto" w:fill="auto"/>
            <w:tcMar>
              <w:top w:w="57" w:type="dxa"/>
              <w:bottom w:w="57" w:type="dxa"/>
            </w:tcMar>
          </w:tcPr>
          <w:p w14:paraId="36F53436" w14:textId="3FC98EA1" w:rsidR="00D86174" w:rsidRDefault="00D86174" w:rsidP="000C7023">
            <w:pPr>
              <w:rPr>
                <w:b/>
                <w:bCs/>
                <w:iCs/>
                <w:lang w:val="en-US"/>
              </w:rPr>
            </w:pPr>
            <w:r>
              <w:rPr>
                <w:b/>
                <w:bCs/>
                <w:iCs/>
                <w:lang w:val="en-US"/>
              </w:rPr>
              <w:t>1990-</w:t>
            </w:r>
            <w:r>
              <w:rPr>
                <w:b/>
                <w:bCs/>
                <w:iCs/>
                <w:lang w:val="en-US"/>
              </w:rPr>
              <w:lastRenderedPageBreak/>
              <w:t>2005</w:t>
            </w:r>
          </w:p>
        </w:tc>
        <w:tc>
          <w:tcPr>
            <w:tcW w:w="3362" w:type="dxa"/>
            <w:gridSpan w:val="4"/>
            <w:shd w:val="clear" w:color="auto" w:fill="auto"/>
          </w:tcPr>
          <w:p w14:paraId="77E0D574" w14:textId="32717A26" w:rsidR="00D86174" w:rsidRDefault="00D86174" w:rsidP="000C7023">
            <w:pPr>
              <w:rPr>
                <w:b/>
                <w:bCs/>
                <w:iCs/>
                <w:lang w:val="en-US"/>
              </w:rPr>
            </w:pPr>
            <w:r>
              <w:rPr>
                <w:b/>
                <w:bCs/>
                <w:iCs/>
                <w:lang w:val="en-US"/>
              </w:rPr>
              <w:lastRenderedPageBreak/>
              <w:t xml:space="preserve">Director: Chapel </w:t>
            </w:r>
            <w:r>
              <w:rPr>
                <w:b/>
                <w:bCs/>
                <w:iCs/>
                <w:lang w:val="en-US"/>
              </w:rPr>
              <w:lastRenderedPageBreak/>
              <w:t>Associates/Mediafour</w:t>
            </w:r>
          </w:p>
        </w:tc>
        <w:tc>
          <w:tcPr>
            <w:tcW w:w="6135" w:type="dxa"/>
            <w:gridSpan w:val="2"/>
            <w:shd w:val="clear" w:color="auto" w:fill="auto"/>
          </w:tcPr>
          <w:p w14:paraId="0769BB2E" w14:textId="5CAAFF0E" w:rsidR="00D86174" w:rsidRPr="000C7023" w:rsidRDefault="00D86174" w:rsidP="000C7023">
            <w:pPr>
              <w:rPr>
                <w:bCs/>
                <w:iCs/>
                <w:lang w:val="en-US"/>
              </w:rPr>
            </w:pPr>
            <w:r w:rsidRPr="000C7023">
              <w:rPr>
                <w:bCs/>
                <w:iCs/>
                <w:lang w:val="en-US"/>
              </w:rPr>
              <w:lastRenderedPageBreak/>
              <w:t xml:space="preserve">Co-founded this multimedia production company. </w:t>
            </w:r>
            <w:r w:rsidRPr="000C7023">
              <w:rPr>
                <w:bCs/>
                <w:iCs/>
                <w:lang w:val="en-US"/>
              </w:rPr>
              <w:lastRenderedPageBreak/>
              <w:t>Projects included corporate training, broadcast programmes and a wide range of documentary video productions for Tearfund and other INGOs</w:t>
            </w:r>
          </w:p>
        </w:tc>
      </w:tr>
      <w:tr w:rsidR="00D86174" w:rsidRPr="00FF5D19" w14:paraId="5F861688" w14:textId="77777777" w:rsidTr="00D86174">
        <w:trPr>
          <w:trHeight w:val="284"/>
          <w:jc w:val="center"/>
        </w:trPr>
        <w:tc>
          <w:tcPr>
            <w:tcW w:w="1277" w:type="dxa"/>
            <w:shd w:val="clear" w:color="auto" w:fill="auto"/>
            <w:tcMar>
              <w:top w:w="57" w:type="dxa"/>
              <w:bottom w:w="57" w:type="dxa"/>
            </w:tcMar>
          </w:tcPr>
          <w:p w14:paraId="61CF22EF" w14:textId="77777777" w:rsidR="00D86174" w:rsidRPr="007800B4" w:rsidRDefault="00D86174" w:rsidP="000C7023">
            <w:pPr>
              <w:rPr>
                <w:b/>
                <w:bCs/>
                <w:iCs/>
                <w:lang w:val="en-US"/>
              </w:rPr>
            </w:pPr>
            <w:r>
              <w:rPr>
                <w:b/>
                <w:bCs/>
                <w:iCs/>
                <w:lang w:val="en-US"/>
              </w:rPr>
              <w:lastRenderedPageBreak/>
              <w:t>1985</w:t>
            </w:r>
          </w:p>
        </w:tc>
        <w:tc>
          <w:tcPr>
            <w:tcW w:w="3362" w:type="dxa"/>
            <w:gridSpan w:val="4"/>
            <w:shd w:val="clear" w:color="auto" w:fill="auto"/>
          </w:tcPr>
          <w:p w14:paraId="627C1A77" w14:textId="77777777" w:rsidR="00D86174" w:rsidRPr="007800B4" w:rsidRDefault="00D86174" w:rsidP="000C7023">
            <w:pPr>
              <w:rPr>
                <w:b/>
                <w:bCs/>
                <w:iCs/>
                <w:lang w:val="en-US"/>
              </w:rPr>
            </w:pPr>
            <w:r>
              <w:rPr>
                <w:b/>
                <w:bCs/>
                <w:iCs/>
                <w:lang w:val="en-US"/>
              </w:rPr>
              <w:t>Queen Elizabeth College, London University</w:t>
            </w:r>
          </w:p>
        </w:tc>
        <w:tc>
          <w:tcPr>
            <w:tcW w:w="6135" w:type="dxa"/>
            <w:gridSpan w:val="2"/>
            <w:shd w:val="clear" w:color="auto" w:fill="auto"/>
          </w:tcPr>
          <w:p w14:paraId="4E1039CC" w14:textId="68AC5A81" w:rsidR="00D86174" w:rsidRPr="000C7023" w:rsidRDefault="00D86174" w:rsidP="000C7023">
            <w:pPr>
              <w:rPr>
                <w:bCs/>
                <w:iCs/>
                <w:lang w:val="en-US"/>
              </w:rPr>
            </w:pPr>
            <w:r w:rsidRPr="000C7023">
              <w:rPr>
                <w:bCs/>
                <w:iCs/>
                <w:lang w:val="en-US"/>
              </w:rPr>
              <w:t>M.Phil: ‘The value of applying biological concepts to industrial organisation’</w:t>
            </w:r>
          </w:p>
        </w:tc>
      </w:tr>
      <w:tr w:rsidR="00490EED" w:rsidRPr="00FF5D19" w14:paraId="76CD7776" w14:textId="77777777" w:rsidTr="00C15992">
        <w:trPr>
          <w:trHeight w:val="284"/>
          <w:jc w:val="center"/>
        </w:trPr>
        <w:tc>
          <w:tcPr>
            <w:tcW w:w="10774" w:type="dxa"/>
            <w:gridSpan w:val="7"/>
            <w:shd w:val="clear" w:color="auto" w:fill="D9D9D9" w:themeFill="background1" w:themeFillShade="D9"/>
            <w:tcMar>
              <w:top w:w="57" w:type="dxa"/>
              <w:bottom w:w="57" w:type="dxa"/>
            </w:tcMar>
            <w:vAlign w:val="center"/>
          </w:tcPr>
          <w:p w14:paraId="5DF7643E" w14:textId="0403579A" w:rsidR="00490EED" w:rsidRPr="007800B4" w:rsidRDefault="002E2F1D" w:rsidP="000C7023">
            <w:pPr>
              <w:pStyle w:val="Default"/>
              <w:rPr>
                <w:rFonts w:ascii="Arial" w:hAnsi="Arial" w:cs="Arial"/>
                <w:b/>
                <w:bCs/>
              </w:rPr>
            </w:pPr>
            <w:r>
              <w:rPr>
                <w:rFonts w:ascii="Arial" w:hAnsi="Arial" w:cs="Arial"/>
                <w:b/>
                <w:color w:val="000000" w:themeColor="text1"/>
              </w:rPr>
              <w:t xml:space="preserve">Recent </w:t>
            </w:r>
            <w:r w:rsidR="00490EED" w:rsidRPr="007800B4">
              <w:rPr>
                <w:rFonts w:ascii="Arial" w:hAnsi="Arial" w:cs="Arial"/>
                <w:b/>
                <w:color w:val="000000" w:themeColor="text1"/>
              </w:rPr>
              <w:t>Publications:</w:t>
            </w:r>
          </w:p>
        </w:tc>
      </w:tr>
      <w:tr w:rsidR="00490EED" w:rsidRPr="00FF5D19" w14:paraId="4BFC2CA1" w14:textId="77777777" w:rsidTr="00C15992">
        <w:trPr>
          <w:trHeight w:val="284"/>
          <w:jc w:val="center"/>
        </w:trPr>
        <w:tc>
          <w:tcPr>
            <w:tcW w:w="1419" w:type="dxa"/>
            <w:gridSpan w:val="2"/>
            <w:shd w:val="clear" w:color="auto" w:fill="D9D9D9" w:themeFill="background1" w:themeFillShade="D9"/>
            <w:tcMar>
              <w:top w:w="57" w:type="dxa"/>
              <w:bottom w:w="57" w:type="dxa"/>
            </w:tcMar>
            <w:vAlign w:val="center"/>
          </w:tcPr>
          <w:p w14:paraId="436CDB02" w14:textId="77777777" w:rsidR="00490EED" w:rsidRDefault="00490EED" w:rsidP="000C7023">
            <w:pPr>
              <w:tabs>
                <w:tab w:val="left" w:pos="360"/>
                <w:tab w:val="right" w:pos="9000"/>
              </w:tabs>
              <w:rPr>
                <w:rFonts w:cstheme="minorHAnsi"/>
                <w:b/>
                <w:bCs/>
              </w:rPr>
            </w:pPr>
            <w:r>
              <w:rPr>
                <w:rFonts w:cstheme="minorHAnsi"/>
                <w:b/>
                <w:bCs/>
              </w:rPr>
              <w:t>Date</w:t>
            </w:r>
          </w:p>
        </w:tc>
        <w:tc>
          <w:tcPr>
            <w:tcW w:w="2693" w:type="dxa"/>
            <w:gridSpan w:val="2"/>
            <w:shd w:val="clear" w:color="auto" w:fill="D9D9D9" w:themeFill="background1" w:themeFillShade="D9"/>
            <w:vAlign w:val="center"/>
          </w:tcPr>
          <w:p w14:paraId="421AC05B" w14:textId="77777777" w:rsidR="00490EED" w:rsidRDefault="00490EED" w:rsidP="000C7023">
            <w:pPr>
              <w:tabs>
                <w:tab w:val="left" w:pos="360"/>
                <w:tab w:val="right" w:pos="9000"/>
              </w:tabs>
              <w:rPr>
                <w:rFonts w:cstheme="minorHAnsi"/>
                <w:b/>
                <w:bCs/>
              </w:rPr>
            </w:pPr>
            <w:r>
              <w:rPr>
                <w:rFonts w:cstheme="minorHAnsi"/>
                <w:b/>
                <w:bCs/>
              </w:rPr>
              <w:t>Authors</w:t>
            </w:r>
          </w:p>
        </w:tc>
        <w:tc>
          <w:tcPr>
            <w:tcW w:w="4253" w:type="dxa"/>
            <w:gridSpan w:val="2"/>
            <w:shd w:val="clear" w:color="auto" w:fill="D9D9D9" w:themeFill="background1" w:themeFillShade="D9"/>
            <w:vAlign w:val="center"/>
          </w:tcPr>
          <w:p w14:paraId="17523ABA" w14:textId="77777777" w:rsidR="00490EED" w:rsidRDefault="00490EED" w:rsidP="000C7023">
            <w:pPr>
              <w:tabs>
                <w:tab w:val="left" w:pos="360"/>
                <w:tab w:val="right" w:pos="9000"/>
              </w:tabs>
              <w:rPr>
                <w:rFonts w:cstheme="minorHAnsi"/>
                <w:b/>
                <w:bCs/>
              </w:rPr>
            </w:pPr>
            <w:r>
              <w:rPr>
                <w:rFonts w:cstheme="minorHAnsi"/>
                <w:b/>
                <w:bCs/>
              </w:rPr>
              <w:t>Title</w:t>
            </w:r>
          </w:p>
        </w:tc>
        <w:tc>
          <w:tcPr>
            <w:tcW w:w="2409" w:type="dxa"/>
            <w:shd w:val="clear" w:color="auto" w:fill="D9D9D9" w:themeFill="background1" w:themeFillShade="D9"/>
            <w:vAlign w:val="center"/>
          </w:tcPr>
          <w:p w14:paraId="48A3B8FA" w14:textId="77777777" w:rsidR="00490EED" w:rsidRDefault="00490EED" w:rsidP="000C7023">
            <w:pPr>
              <w:tabs>
                <w:tab w:val="left" w:pos="360"/>
                <w:tab w:val="right" w:pos="9000"/>
              </w:tabs>
              <w:rPr>
                <w:rFonts w:cstheme="minorHAnsi"/>
                <w:b/>
                <w:bCs/>
              </w:rPr>
            </w:pPr>
            <w:r>
              <w:rPr>
                <w:rFonts w:cstheme="minorHAnsi"/>
                <w:b/>
                <w:bCs/>
              </w:rPr>
              <w:t>Journal/publisher</w:t>
            </w:r>
          </w:p>
        </w:tc>
      </w:tr>
      <w:tr w:rsidR="00EA32A9" w:rsidRPr="000C7023" w14:paraId="3801D54C" w14:textId="77777777" w:rsidTr="00C15992">
        <w:trPr>
          <w:trHeight w:val="284"/>
          <w:jc w:val="center"/>
        </w:trPr>
        <w:tc>
          <w:tcPr>
            <w:tcW w:w="1419" w:type="dxa"/>
            <w:gridSpan w:val="2"/>
            <w:shd w:val="clear" w:color="auto" w:fill="FFFFFF" w:themeFill="background1"/>
            <w:tcMar>
              <w:top w:w="57" w:type="dxa"/>
              <w:bottom w:w="57" w:type="dxa"/>
            </w:tcMar>
            <w:vAlign w:val="center"/>
          </w:tcPr>
          <w:p w14:paraId="64D3CC60" w14:textId="39608679" w:rsidR="00EA32A9" w:rsidRPr="000C7023" w:rsidRDefault="00EA32A9" w:rsidP="000C7023">
            <w:pPr>
              <w:tabs>
                <w:tab w:val="left" w:pos="360"/>
                <w:tab w:val="right" w:pos="9000"/>
              </w:tabs>
              <w:rPr>
                <w:sz w:val="22"/>
                <w:szCs w:val="22"/>
              </w:rPr>
            </w:pPr>
            <w:r>
              <w:rPr>
                <w:sz w:val="22"/>
                <w:szCs w:val="22"/>
              </w:rPr>
              <w:t>2018</w:t>
            </w:r>
          </w:p>
        </w:tc>
        <w:tc>
          <w:tcPr>
            <w:tcW w:w="2693" w:type="dxa"/>
            <w:gridSpan w:val="2"/>
            <w:shd w:val="clear" w:color="auto" w:fill="FFFFFF" w:themeFill="background1"/>
            <w:vAlign w:val="center"/>
          </w:tcPr>
          <w:p w14:paraId="2C5466CD" w14:textId="47139CD5" w:rsidR="00EA32A9" w:rsidRPr="000C7023" w:rsidRDefault="00EA32A9" w:rsidP="000C7023">
            <w:pPr>
              <w:tabs>
                <w:tab w:val="left" w:pos="360"/>
                <w:tab w:val="right" w:pos="9000"/>
              </w:tabs>
              <w:rPr>
                <w:sz w:val="22"/>
                <w:szCs w:val="22"/>
              </w:rPr>
            </w:pPr>
            <w:r>
              <w:rPr>
                <w:sz w:val="22"/>
                <w:szCs w:val="22"/>
              </w:rPr>
              <w:t xml:space="preserve">GIBSON, T </w:t>
            </w:r>
            <w:r w:rsidRPr="00EA32A9">
              <w:rPr>
                <w:i/>
                <w:sz w:val="22"/>
                <w:szCs w:val="22"/>
              </w:rPr>
              <w:t>et al</w:t>
            </w:r>
          </w:p>
        </w:tc>
        <w:tc>
          <w:tcPr>
            <w:tcW w:w="4253" w:type="dxa"/>
            <w:gridSpan w:val="2"/>
            <w:shd w:val="clear" w:color="auto" w:fill="FFFFFF" w:themeFill="background1"/>
            <w:vAlign w:val="center"/>
          </w:tcPr>
          <w:p w14:paraId="3CF89DD7" w14:textId="56747F27" w:rsidR="00EA32A9" w:rsidRPr="000C7023" w:rsidRDefault="00EA32A9" w:rsidP="00EA32A9">
            <w:pPr>
              <w:widowControl w:val="0"/>
              <w:autoSpaceDE w:val="0"/>
              <w:autoSpaceDN w:val="0"/>
              <w:adjustRightInd w:val="0"/>
              <w:rPr>
                <w:rFonts w:cs="Arial"/>
                <w:bCs/>
                <w:i/>
                <w:sz w:val="22"/>
                <w:szCs w:val="22"/>
                <w:shd w:val="clear" w:color="auto" w:fill="FFFFFF"/>
              </w:rPr>
            </w:pPr>
            <w:r>
              <w:rPr>
                <w:rFonts w:cs="Arial"/>
                <w:bCs/>
                <w:i/>
                <w:sz w:val="22"/>
                <w:szCs w:val="22"/>
                <w:shd w:val="clear" w:color="auto" w:fill="FFFFFF"/>
              </w:rPr>
              <w:t>Special journal issue on local learning and action</w:t>
            </w:r>
          </w:p>
        </w:tc>
        <w:tc>
          <w:tcPr>
            <w:tcW w:w="2409" w:type="dxa"/>
            <w:shd w:val="clear" w:color="auto" w:fill="FFFFFF" w:themeFill="background1"/>
            <w:vAlign w:val="center"/>
          </w:tcPr>
          <w:p w14:paraId="28CC1301" w14:textId="185B3372" w:rsidR="00EA32A9" w:rsidRPr="000C7023" w:rsidRDefault="008062CD" w:rsidP="000C7023">
            <w:pPr>
              <w:rPr>
                <w:rFonts w:cs="Arial"/>
                <w:sz w:val="22"/>
                <w:szCs w:val="22"/>
                <w:shd w:val="clear" w:color="auto" w:fill="FFFFFF"/>
              </w:rPr>
            </w:pPr>
            <w:r>
              <w:rPr>
                <w:rFonts w:cs="Arial"/>
                <w:sz w:val="22"/>
                <w:szCs w:val="22"/>
                <w:shd w:val="clear" w:color="auto" w:fill="FFFFFF"/>
              </w:rPr>
              <w:t>International Journal of Disaster Prevention and Management</w:t>
            </w:r>
          </w:p>
        </w:tc>
      </w:tr>
      <w:tr w:rsidR="00EA32A9" w:rsidRPr="000C7023" w14:paraId="48B7D1D0" w14:textId="77777777" w:rsidTr="00C15992">
        <w:trPr>
          <w:trHeight w:val="284"/>
          <w:jc w:val="center"/>
        </w:trPr>
        <w:tc>
          <w:tcPr>
            <w:tcW w:w="1419" w:type="dxa"/>
            <w:gridSpan w:val="2"/>
            <w:shd w:val="clear" w:color="auto" w:fill="FFFFFF" w:themeFill="background1"/>
            <w:tcMar>
              <w:top w:w="57" w:type="dxa"/>
              <w:bottom w:w="57" w:type="dxa"/>
            </w:tcMar>
            <w:vAlign w:val="center"/>
          </w:tcPr>
          <w:p w14:paraId="6D3903D8" w14:textId="1F7A4325" w:rsidR="00EA32A9" w:rsidRDefault="00EA32A9" w:rsidP="000C7023">
            <w:pPr>
              <w:tabs>
                <w:tab w:val="left" w:pos="360"/>
                <w:tab w:val="right" w:pos="9000"/>
              </w:tabs>
              <w:rPr>
                <w:sz w:val="22"/>
                <w:szCs w:val="22"/>
              </w:rPr>
            </w:pPr>
            <w:r w:rsidRPr="000C7023">
              <w:rPr>
                <w:sz w:val="22"/>
                <w:szCs w:val="22"/>
              </w:rPr>
              <w:t>201</w:t>
            </w:r>
            <w:r>
              <w:rPr>
                <w:sz w:val="22"/>
                <w:szCs w:val="22"/>
              </w:rPr>
              <w:t>7</w:t>
            </w:r>
          </w:p>
        </w:tc>
        <w:tc>
          <w:tcPr>
            <w:tcW w:w="2693" w:type="dxa"/>
            <w:gridSpan w:val="2"/>
            <w:shd w:val="clear" w:color="auto" w:fill="FFFFFF" w:themeFill="background1"/>
            <w:vAlign w:val="center"/>
          </w:tcPr>
          <w:p w14:paraId="3F5569D5" w14:textId="6ACF9C7E" w:rsidR="00EA32A9" w:rsidRDefault="00EA32A9" w:rsidP="000C7023">
            <w:pPr>
              <w:tabs>
                <w:tab w:val="left" w:pos="360"/>
                <w:tab w:val="right" w:pos="9000"/>
              </w:tabs>
              <w:rPr>
                <w:sz w:val="22"/>
                <w:szCs w:val="22"/>
              </w:rPr>
            </w:pPr>
            <w:r w:rsidRPr="000C7023">
              <w:rPr>
                <w:sz w:val="22"/>
                <w:szCs w:val="22"/>
              </w:rPr>
              <w:t>GIBSON, T</w:t>
            </w:r>
          </w:p>
        </w:tc>
        <w:tc>
          <w:tcPr>
            <w:tcW w:w="4253" w:type="dxa"/>
            <w:gridSpan w:val="2"/>
            <w:shd w:val="clear" w:color="auto" w:fill="FFFFFF" w:themeFill="background1"/>
            <w:vAlign w:val="center"/>
          </w:tcPr>
          <w:p w14:paraId="4AC9EDAA" w14:textId="39B36FA1" w:rsidR="00EA32A9" w:rsidRPr="00EA32A9" w:rsidRDefault="00EA32A9" w:rsidP="00EA32A9">
            <w:pPr>
              <w:widowControl w:val="0"/>
              <w:autoSpaceDE w:val="0"/>
              <w:autoSpaceDN w:val="0"/>
              <w:adjustRightInd w:val="0"/>
              <w:rPr>
                <w:rFonts w:eastAsiaTheme="minorEastAsia" w:cs="Arial"/>
                <w:i/>
                <w:color w:val="000000"/>
                <w:sz w:val="22"/>
                <w:szCs w:val="22"/>
                <w:lang w:eastAsia="ja-JP"/>
              </w:rPr>
            </w:pPr>
            <w:r w:rsidRPr="000C7023">
              <w:rPr>
                <w:rFonts w:cs="Arial"/>
                <w:bCs/>
                <w:i/>
                <w:sz w:val="22"/>
                <w:szCs w:val="22"/>
                <w:shd w:val="clear" w:color="auto" w:fill="FFFFFF"/>
              </w:rPr>
              <w:t>Climate Change Adaptation and Disaster Risk Reduction: the role of NGOs</w:t>
            </w:r>
          </w:p>
        </w:tc>
        <w:tc>
          <w:tcPr>
            <w:tcW w:w="2409" w:type="dxa"/>
            <w:shd w:val="clear" w:color="auto" w:fill="FFFFFF" w:themeFill="background1"/>
            <w:vAlign w:val="center"/>
          </w:tcPr>
          <w:p w14:paraId="3FAF7211" w14:textId="33CE5605" w:rsidR="00EA32A9" w:rsidRDefault="00EA32A9" w:rsidP="000C7023">
            <w:pPr>
              <w:rPr>
                <w:rFonts w:cs="Arial"/>
                <w:sz w:val="22"/>
                <w:szCs w:val="22"/>
                <w:shd w:val="clear" w:color="auto" w:fill="FFFFFF"/>
              </w:rPr>
            </w:pPr>
            <w:r w:rsidRPr="000C7023">
              <w:rPr>
                <w:rFonts w:cs="Arial"/>
                <w:sz w:val="22"/>
                <w:szCs w:val="22"/>
                <w:shd w:val="clear" w:color="auto" w:fill="FFFFFF"/>
              </w:rPr>
              <w:t>Routledge (book chapter)</w:t>
            </w:r>
          </w:p>
        </w:tc>
      </w:tr>
      <w:tr w:rsidR="00EA32A9" w:rsidRPr="000C7023" w14:paraId="0EE71A6F" w14:textId="77777777" w:rsidTr="00C15992">
        <w:trPr>
          <w:trHeight w:val="284"/>
          <w:jc w:val="center"/>
        </w:trPr>
        <w:tc>
          <w:tcPr>
            <w:tcW w:w="1419" w:type="dxa"/>
            <w:gridSpan w:val="2"/>
            <w:shd w:val="clear" w:color="auto" w:fill="FFFFFF" w:themeFill="background1"/>
            <w:tcMar>
              <w:top w:w="57" w:type="dxa"/>
              <w:bottom w:w="57" w:type="dxa"/>
            </w:tcMar>
            <w:vAlign w:val="center"/>
          </w:tcPr>
          <w:p w14:paraId="566E2FE0" w14:textId="52EDD6C9" w:rsidR="00EA32A9" w:rsidRDefault="00EA32A9" w:rsidP="000C7023">
            <w:pPr>
              <w:tabs>
                <w:tab w:val="left" w:pos="360"/>
                <w:tab w:val="right" w:pos="9000"/>
              </w:tabs>
              <w:rPr>
                <w:sz w:val="22"/>
                <w:szCs w:val="22"/>
              </w:rPr>
            </w:pPr>
            <w:r>
              <w:rPr>
                <w:sz w:val="22"/>
                <w:szCs w:val="22"/>
              </w:rPr>
              <w:t>2016</w:t>
            </w:r>
          </w:p>
        </w:tc>
        <w:tc>
          <w:tcPr>
            <w:tcW w:w="2693" w:type="dxa"/>
            <w:gridSpan w:val="2"/>
            <w:shd w:val="clear" w:color="auto" w:fill="FFFFFF" w:themeFill="background1"/>
            <w:vAlign w:val="center"/>
          </w:tcPr>
          <w:p w14:paraId="5C2F96E7" w14:textId="0955BB48" w:rsidR="00EA32A9" w:rsidRDefault="00EA32A9" w:rsidP="000C7023">
            <w:pPr>
              <w:tabs>
                <w:tab w:val="left" w:pos="360"/>
                <w:tab w:val="right" w:pos="9000"/>
              </w:tabs>
              <w:rPr>
                <w:sz w:val="22"/>
                <w:szCs w:val="22"/>
              </w:rPr>
            </w:pPr>
            <w:r>
              <w:rPr>
                <w:sz w:val="22"/>
                <w:szCs w:val="22"/>
              </w:rPr>
              <w:t>GIBSON, T, WISNER, B.</w:t>
            </w:r>
          </w:p>
        </w:tc>
        <w:tc>
          <w:tcPr>
            <w:tcW w:w="4253" w:type="dxa"/>
            <w:gridSpan w:val="2"/>
            <w:shd w:val="clear" w:color="auto" w:fill="FFFFFF" w:themeFill="background1"/>
            <w:vAlign w:val="center"/>
          </w:tcPr>
          <w:p w14:paraId="45A029DC" w14:textId="77777777" w:rsidR="00EA32A9" w:rsidRPr="00EA32A9" w:rsidRDefault="00EA32A9" w:rsidP="00EA32A9">
            <w:pPr>
              <w:widowControl w:val="0"/>
              <w:autoSpaceDE w:val="0"/>
              <w:autoSpaceDN w:val="0"/>
              <w:adjustRightInd w:val="0"/>
              <w:rPr>
                <w:rFonts w:eastAsiaTheme="minorEastAsia" w:cs="Arial"/>
                <w:i/>
                <w:color w:val="000000"/>
                <w:sz w:val="22"/>
                <w:szCs w:val="22"/>
                <w:lang w:eastAsia="ja-JP"/>
              </w:rPr>
            </w:pPr>
            <w:r w:rsidRPr="00EA32A9">
              <w:rPr>
                <w:rFonts w:eastAsiaTheme="minorEastAsia" w:cs="Arial"/>
                <w:i/>
                <w:color w:val="000000"/>
                <w:sz w:val="22"/>
                <w:szCs w:val="22"/>
                <w:lang w:eastAsia="ja-JP"/>
              </w:rPr>
              <w:t xml:space="preserve">“Lets talk about you ...” Opening space for local experience, action </w:t>
            </w:r>
          </w:p>
          <w:p w14:paraId="2C72BF14" w14:textId="77777777" w:rsidR="00EA32A9" w:rsidRPr="00EA32A9" w:rsidRDefault="00EA32A9" w:rsidP="00EA32A9">
            <w:pPr>
              <w:widowControl w:val="0"/>
              <w:autoSpaceDE w:val="0"/>
              <w:autoSpaceDN w:val="0"/>
              <w:adjustRightInd w:val="0"/>
              <w:rPr>
                <w:rFonts w:eastAsiaTheme="minorEastAsia" w:cs="Arial"/>
                <w:i/>
                <w:color w:val="000000"/>
                <w:sz w:val="22"/>
                <w:szCs w:val="22"/>
                <w:lang w:eastAsia="ja-JP"/>
              </w:rPr>
            </w:pPr>
            <w:r w:rsidRPr="00EA32A9">
              <w:rPr>
                <w:rFonts w:eastAsiaTheme="minorEastAsia" w:cs="Arial"/>
                <w:i/>
                <w:color w:val="000000"/>
                <w:sz w:val="22"/>
                <w:szCs w:val="22"/>
                <w:lang w:eastAsia="ja-JP"/>
              </w:rPr>
              <w:t xml:space="preserve">and learning in disaster risk reduction </w:t>
            </w:r>
          </w:p>
          <w:p w14:paraId="28BCFB14" w14:textId="77777777" w:rsidR="00EA32A9" w:rsidRPr="00EA32A9" w:rsidRDefault="00EA32A9" w:rsidP="00EA32A9">
            <w:pPr>
              <w:widowControl w:val="0"/>
              <w:autoSpaceDE w:val="0"/>
              <w:autoSpaceDN w:val="0"/>
              <w:adjustRightInd w:val="0"/>
              <w:rPr>
                <w:rFonts w:eastAsiaTheme="minorEastAsia" w:cs="Arial"/>
                <w:i/>
                <w:color w:val="000000"/>
                <w:sz w:val="22"/>
                <w:szCs w:val="22"/>
                <w:lang w:eastAsia="ja-JP"/>
              </w:rPr>
            </w:pPr>
          </w:p>
        </w:tc>
        <w:tc>
          <w:tcPr>
            <w:tcW w:w="2409" w:type="dxa"/>
            <w:shd w:val="clear" w:color="auto" w:fill="FFFFFF" w:themeFill="background1"/>
            <w:vAlign w:val="center"/>
          </w:tcPr>
          <w:p w14:paraId="74F8FBF7" w14:textId="61A75E25" w:rsidR="00EA32A9" w:rsidRDefault="00EA32A9" w:rsidP="000C7023">
            <w:pPr>
              <w:rPr>
                <w:rFonts w:cs="Arial"/>
                <w:sz w:val="22"/>
                <w:szCs w:val="22"/>
                <w:shd w:val="clear" w:color="auto" w:fill="FFFFFF"/>
              </w:rPr>
            </w:pPr>
            <w:r>
              <w:rPr>
                <w:rFonts w:cs="Arial"/>
                <w:sz w:val="22"/>
                <w:szCs w:val="22"/>
                <w:shd w:val="clear" w:color="auto" w:fill="FFFFFF"/>
              </w:rPr>
              <w:t>International Journal of Disaster Prevention and Management</w:t>
            </w:r>
          </w:p>
        </w:tc>
      </w:tr>
      <w:tr w:rsidR="00EA32A9" w:rsidRPr="000C7023" w14:paraId="2C4F53A6" w14:textId="77777777" w:rsidTr="00C15992">
        <w:trPr>
          <w:trHeight w:val="284"/>
          <w:jc w:val="center"/>
        </w:trPr>
        <w:tc>
          <w:tcPr>
            <w:tcW w:w="1419" w:type="dxa"/>
            <w:gridSpan w:val="2"/>
            <w:shd w:val="clear" w:color="auto" w:fill="FFFFFF" w:themeFill="background1"/>
            <w:tcMar>
              <w:top w:w="57" w:type="dxa"/>
              <w:bottom w:w="57" w:type="dxa"/>
            </w:tcMar>
            <w:vAlign w:val="center"/>
          </w:tcPr>
          <w:p w14:paraId="3329F2B0" w14:textId="7A48E2DD" w:rsidR="00EA32A9" w:rsidRPr="000C7023" w:rsidRDefault="00EA32A9" w:rsidP="000C7023">
            <w:pPr>
              <w:tabs>
                <w:tab w:val="left" w:pos="360"/>
                <w:tab w:val="right" w:pos="9000"/>
              </w:tabs>
              <w:rPr>
                <w:sz w:val="22"/>
                <w:szCs w:val="22"/>
              </w:rPr>
            </w:pPr>
            <w:r>
              <w:rPr>
                <w:sz w:val="22"/>
                <w:szCs w:val="22"/>
              </w:rPr>
              <w:t>2016</w:t>
            </w:r>
          </w:p>
        </w:tc>
        <w:tc>
          <w:tcPr>
            <w:tcW w:w="2693" w:type="dxa"/>
            <w:gridSpan w:val="2"/>
            <w:shd w:val="clear" w:color="auto" w:fill="FFFFFF" w:themeFill="background1"/>
            <w:vAlign w:val="center"/>
          </w:tcPr>
          <w:p w14:paraId="6B501CE1" w14:textId="59343723" w:rsidR="00EA32A9" w:rsidRPr="000C7023" w:rsidRDefault="00EA32A9" w:rsidP="000C7023">
            <w:pPr>
              <w:tabs>
                <w:tab w:val="left" w:pos="360"/>
                <w:tab w:val="right" w:pos="9000"/>
              </w:tabs>
              <w:rPr>
                <w:sz w:val="22"/>
                <w:szCs w:val="22"/>
              </w:rPr>
            </w:pPr>
            <w:r>
              <w:rPr>
                <w:sz w:val="22"/>
                <w:szCs w:val="22"/>
              </w:rPr>
              <w:t xml:space="preserve">GIBSON, T </w:t>
            </w:r>
            <w:r w:rsidRPr="00EA32A9">
              <w:rPr>
                <w:i/>
                <w:sz w:val="22"/>
                <w:szCs w:val="22"/>
              </w:rPr>
              <w:t>et al</w:t>
            </w:r>
          </w:p>
        </w:tc>
        <w:tc>
          <w:tcPr>
            <w:tcW w:w="4253" w:type="dxa"/>
            <w:gridSpan w:val="2"/>
            <w:shd w:val="clear" w:color="auto" w:fill="FFFFFF" w:themeFill="background1"/>
            <w:vAlign w:val="center"/>
          </w:tcPr>
          <w:p w14:paraId="7B70E6DC" w14:textId="08CDE350" w:rsidR="00EA32A9" w:rsidRPr="00EA32A9" w:rsidRDefault="00EA32A9" w:rsidP="00EA32A9">
            <w:pPr>
              <w:widowControl w:val="0"/>
              <w:autoSpaceDE w:val="0"/>
              <w:autoSpaceDN w:val="0"/>
              <w:adjustRightInd w:val="0"/>
              <w:rPr>
                <w:rFonts w:eastAsiaTheme="minorEastAsia" w:cs="Arial"/>
                <w:i/>
                <w:color w:val="000000"/>
                <w:sz w:val="22"/>
                <w:szCs w:val="22"/>
                <w:lang w:eastAsia="ja-JP"/>
              </w:rPr>
            </w:pPr>
            <w:r w:rsidRPr="00EA32A9">
              <w:rPr>
                <w:rFonts w:eastAsiaTheme="minorEastAsia" w:cs="Arial"/>
                <w:i/>
                <w:color w:val="000000"/>
                <w:sz w:val="22"/>
                <w:szCs w:val="22"/>
                <w:lang w:eastAsia="ja-JP"/>
              </w:rPr>
              <w:t xml:space="preserve">Pathways for Transformation: Disaster Risk Management to Enhance Resilience to Extreme Events </w:t>
            </w:r>
          </w:p>
        </w:tc>
        <w:tc>
          <w:tcPr>
            <w:tcW w:w="2409" w:type="dxa"/>
            <w:shd w:val="clear" w:color="auto" w:fill="FFFFFF" w:themeFill="background1"/>
            <w:vAlign w:val="center"/>
          </w:tcPr>
          <w:p w14:paraId="35558154" w14:textId="7E7155B0" w:rsidR="00EA32A9" w:rsidRPr="000C7023" w:rsidRDefault="00EA32A9" w:rsidP="000C7023">
            <w:pPr>
              <w:rPr>
                <w:rFonts w:cs="Arial"/>
                <w:sz w:val="22"/>
                <w:szCs w:val="22"/>
                <w:shd w:val="clear" w:color="auto" w:fill="FFFFFF"/>
              </w:rPr>
            </w:pPr>
            <w:r>
              <w:rPr>
                <w:rFonts w:cs="Arial"/>
                <w:sz w:val="22"/>
                <w:szCs w:val="22"/>
                <w:shd w:val="clear" w:color="auto" w:fill="FFFFFF"/>
              </w:rPr>
              <w:t>Journal of Extreme Events</w:t>
            </w:r>
          </w:p>
        </w:tc>
      </w:tr>
      <w:tr w:rsidR="0019471B" w:rsidRPr="000C7023" w14:paraId="55EA7758" w14:textId="77777777" w:rsidTr="00C15992">
        <w:trPr>
          <w:trHeight w:val="284"/>
          <w:jc w:val="center"/>
        </w:trPr>
        <w:tc>
          <w:tcPr>
            <w:tcW w:w="1419" w:type="dxa"/>
            <w:gridSpan w:val="2"/>
            <w:shd w:val="clear" w:color="auto" w:fill="FFFFFF" w:themeFill="background1"/>
            <w:tcMar>
              <w:top w:w="57" w:type="dxa"/>
              <w:bottom w:w="57" w:type="dxa"/>
            </w:tcMar>
            <w:vAlign w:val="center"/>
          </w:tcPr>
          <w:p w14:paraId="24490637" w14:textId="77777777" w:rsidR="0019471B" w:rsidRPr="000C7023" w:rsidRDefault="0037742D" w:rsidP="000C7023">
            <w:pPr>
              <w:tabs>
                <w:tab w:val="left" w:pos="360"/>
                <w:tab w:val="right" w:pos="9000"/>
              </w:tabs>
              <w:rPr>
                <w:sz w:val="22"/>
                <w:szCs w:val="22"/>
              </w:rPr>
            </w:pPr>
            <w:r w:rsidRPr="000C7023">
              <w:rPr>
                <w:sz w:val="22"/>
                <w:szCs w:val="22"/>
              </w:rPr>
              <w:t>2015</w:t>
            </w:r>
          </w:p>
        </w:tc>
        <w:tc>
          <w:tcPr>
            <w:tcW w:w="2693" w:type="dxa"/>
            <w:gridSpan w:val="2"/>
            <w:shd w:val="clear" w:color="auto" w:fill="FFFFFF" w:themeFill="background1"/>
            <w:vAlign w:val="center"/>
          </w:tcPr>
          <w:p w14:paraId="20802AC6" w14:textId="77777777" w:rsidR="0019471B" w:rsidRPr="000C7023" w:rsidRDefault="0019471B" w:rsidP="000C7023">
            <w:pPr>
              <w:tabs>
                <w:tab w:val="left" w:pos="360"/>
                <w:tab w:val="right" w:pos="9000"/>
              </w:tabs>
              <w:rPr>
                <w:sz w:val="22"/>
                <w:szCs w:val="22"/>
              </w:rPr>
            </w:pPr>
            <w:r w:rsidRPr="000C7023">
              <w:rPr>
                <w:sz w:val="22"/>
                <w:szCs w:val="22"/>
              </w:rPr>
              <w:t>GIBSON, T</w:t>
            </w:r>
          </w:p>
        </w:tc>
        <w:tc>
          <w:tcPr>
            <w:tcW w:w="4253" w:type="dxa"/>
            <w:gridSpan w:val="2"/>
            <w:shd w:val="clear" w:color="auto" w:fill="FFFFFF" w:themeFill="background1"/>
            <w:vAlign w:val="center"/>
          </w:tcPr>
          <w:p w14:paraId="6FF5A9A5" w14:textId="77777777" w:rsidR="0019471B" w:rsidRPr="000C7023" w:rsidRDefault="0037742D" w:rsidP="000C7023">
            <w:pPr>
              <w:rPr>
                <w:rFonts w:cs="Arial"/>
                <w:i/>
                <w:sz w:val="22"/>
                <w:szCs w:val="22"/>
              </w:rPr>
            </w:pPr>
            <w:r w:rsidRPr="000C7023">
              <w:rPr>
                <w:rFonts w:cs="Arial"/>
                <w:bCs/>
                <w:i/>
                <w:sz w:val="22"/>
                <w:szCs w:val="22"/>
                <w:shd w:val="clear" w:color="auto" w:fill="FFFFFF"/>
              </w:rPr>
              <w:t>R</w:t>
            </w:r>
            <w:r w:rsidR="0019471B" w:rsidRPr="000C7023">
              <w:rPr>
                <w:rFonts w:cs="Arial"/>
                <w:bCs/>
                <w:i/>
                <w:sz w:val="22"/>
                <w:szCs w:val="22"/>
                <w:shd w:val="clear" w:color="auto" w:fill="FFFFFF"/>
              </w:rPr>
              <w:t>eflective practitioners: The importance of critical thought for change agents</w:t>
            </w:r>
          </w:p>
          <w:p w14:paraId="3E7A163A" w14:textId="77777777" w:rsidR="0019471B" w:rsidRPr="000C7023" w:rsidRDefault="0019471B" w:rsidP="000C7023">
            <w:pPr>
              <w:rPr>
                <w:rFonts w:cs="Arial"/>
                <w:bCs/>
                <w:i/>
                <w:sz w:val="22"/>
                <w:szCs w:val="22"/>
              </w:rPr>
            </w:pPr>
          </w:p>
        </w:tc>
        <w:tc>
          <w:tcPr>
            <w:tcW w:w="2409" w:type="dxa"/>
            <w:shd w:val="clear" w:color="auto" w:fill="FFFFFF" w:themeFill="background1"/>
            <w:vAlign w:val="center"/>
          </w:tcPr>
          <w:p w14:paraId="6CB38F80" w14:textId="77777777" w:rsidR="0037742D" w:rsidRPr="000C7023" w:rsidRDefault="0019471B" w:rsidP="000C7023">
            <w:pPr>
              <w:rPr>
                <w:rFonts w:cs="Arial"/>
                <w:sz w:val="22"/>
                <w:szCs w:val="22"/>
              </w:rPr>
            </w:pPr>
            <w:r w:rsidRPr="000C7023">
              <w:rPr>
                <w:rFonts w:cs="Arial"/>
                <w:sz w:val="22"/>
                <w:szCs w:val="22"/>
                <w:shd w:val="clear" w:color="auto" w:fill="FFFFFF"/>
              </w:rPr>
              <w:t xml:space="preserve">Jamba: </w:t>
            </w:r>
            <w:r w:rsidR="0037742D" w:rsidRPr="000C7023">
              <w:rPr>
                <w:rFonts w:cs="Arial"/>
                <w:color w:val="111111"/>
                <w:sz w:val="22"/>
                <w:szCs w:val="22"/>
                <w:shd w:val="clear" w:color="auto" w:fill="FFFFFF"/>
              </w:rPr>
              <w:t>Vol 7, No 1 (2015)</w:t>
            </w:r>
          </w:p>
          <w:p w14:paraId="3F9518F0" w14:textId="77777777" w:rsidR="0019471B" w:rsidRPr="000C7023" w:rsidRDefault="0019471B" w:rsidP="000C7023">
            <w:pPr>
              <w:tabs>
                <w:tab w:val="left" w:pos="360"/>
                <w:tab w:val="right" w:pos="9000"/>
              </w:tabs>
              <w:rPr>
                <w:sz w:val="22"/>
                <w:szCs w:val="22"/>
                <w:shd w:val="clear" w:color="auto" w:fill="FFFFFF"/>
              </w:rPr>
            </w:pPr>
          </w:p>
        </w:tc>
      </w:tr>
      <w:tr w:rsidR="003905C6" w:rsidRPr="000C7023" w14:paraId="6C94D558" w14:textId="77777777" w:rsidTr="00C15992">
        <w:trPr>
          <w:trHeight w:val="284"/>
          <w:jc w:val="center"/>
        </w:trPr>
        <w:tc>
          <w:tcPr>
            <w:tcW w:w="1419" w:type="dxa"/>
            <w:gridSpan w:val="2"/>
            <w:shd w:val="clear" w:color="auto" w:fill="FFFFFF" w:themeFill="background1"/>
            <w:tcMar>
              <w:top w:w="57" w:type="dxa"/>
              <w:bottom w:w="57" w:type="dxa"/>
            </w:tcMar>
            <w:vAlign w:val="center"/>
          </w:tcPr>
          <w:p w14:paraId="1EF141BD" w14:textId="77777777" w:rsidR="003905C6" w:rsidRPr="000C7023" w:rsidRDefault="003905C6" w:rsidP="000C7023">
            <w:pPr>
              <w:tabs>
                <w:tab w:val="left" w:pos="360"/>
                <w:tab w:val="right" w:pos="9000"/>
              </w:tabs>
              <w:rPr>
                <w:sz w:val="22"/>
                <w:szCs w:val="22"/>
              </w:rPr>
            </w:pPr>
            <w:r w:rsidRPr="000C7023">
              <w:rPr>
                <w:sz w:val="22"/>
                <w:szCs w:val="22"/>
              </w:rPr>
              <w:t>2014</w:t>
            </w:r>
          </w:p>
        </w:tc>
        <w:tc>
          <w:tcPr>
            <w:tcW w:w="2693" w:type="dxa"/>
            <w:gridSpan w:val="2"/>
            <w:shd w:val="clear" w:color="auto" w:fill="FFFFFF" w:themeFill="background1"/>
            <w:vAlign w:val="center"/>
          </w:tcPr>
          <w:p w14:paraId="2873B02D" w14:textId="77777777" w:rsidR="003905C6" w:rsidRPr="000C7023" w:rsidRDefault="003905C6" w:rsidP="000C7023">
            <w:pPr>
              <w:tabs>
                <w:tab w:val="left" w:pos="360"/>
                <w:tab w:val="right" w:pos="9000"/>
              </w:tabs>
              <w:rPr>
                <w:sz w:val="22"/>
                <w:szCs w:val="22"/>
              </w:rPr>
            </w:pPr>
            <w:r w:rsidRPr="000C7023">
              <w:rPr>
                <w:sz w:val="22"/>
                <w:szCs w:val="22"/>
              </w:rPr>
              <w:t>GIBSON, T, PELLING, M</w:t>
            </w:r>
          </w:p>
        </w:tc>
        <w:tc>
          <w:tcPr>
            <w:tcW w:w="4253" w:type="dxa"/>
            <w:gridSpan w:val="2"/>
            <w:shd w:val="clear" w:color="auto" w:fill="FFFFFF" w:themeFill="background1"/>
            <w:vAlign w:val="center"/>
          </w:tcPr>
          <w:p w14:paraId="793A70E1" w14:textId="77777777" w:rsidR="0019471B" w:rsidRPr="000C7023" w:rsidRDefault="0019471B" w:rsidP="000C7023">
            <w:pPr>
              <w:rPr>
                <w:rFonts w:cs="Arial"/>
                <w:bCs/>
                <w:i/>
                <w:sz w:val="22"/>
                <w:szCs w:val="22"/>
              </w:rPr>
            </w:pPr>
            <w:r w:rsidRPr="000C7023">
              <w:rPr>
                <w:rFonts w:cs="Arial"/>
                <w:bCs/>
                <w:i/>
                <w:sz w:val="22"/>
                <w:szCs w:val="22"/>
              </w:rPr>
              <w:t>Pathways for Transformation: Exposing the opportunity space for disaster risk management to shape development trajectories</w:t>
            </w:r>
          </w:p>
          <w:p w14:paraId="52097354" w14:textId="77777777" w:rsidR="003905C6" w:rsidRPr="000C7023" w:rsidRDefault="003905C6" w:rsidP="000C7023">
            <w:pPr>
              <w:tabs>
                <w:tab w:val="left" w:pos="360"/>
                <w:tab w:val="right" w:pos="9000"/>
              </w:tabs>
              <w:rPr>
                <w:i/>
                <w:sz w:val="22"/>
                <w:szCs w:val="22"/>
                <w:shd w:val="clear" w:color="auto" w:fill="FFFFFF"/>
              </w:rPr>
            </w:pPr>
          </w:p>
        </w:tc>
        <w:tc>
          <w:tcPr>
            <w:tcW w:w="2409" w:type="dxa"/>
            <w:shd w:val="clear" w:color="auto" w:fill="FFFFFF" w:themeFill="background1"/>
            <w:vAlign w:val="center"/>
          </w:tcPr>
          <w:p w14:paraId="4F9A46A4" w14:textId="77777777" w:rsidR="003905C6" w:rsidRPr="000C7023" w:rsidRDefault="003905C6" w:rsidP="000C7023">
            <w:pPr>
              <w:tabs>
                <w:tab w:val="left" w:pos="360"/>
                <w:tab w:val="right" w:pos="9000"/>
              </w:tabs>
              <w:rPr>
                <w:sz w:val="22"/>
                <w:szCs w:val="22"/>
                <w:shd w:val="clear" w:color="auto" w:fill="FFFFFF"/>
              </w:rPr>
            </w:pPr>
            <w:r w:rsidRPr="000C7023">
              <w:rPr>
                <w:sz w:val="22"/>
                <w:szCs w:val="22"/>
                <w:shd w:val="clear" w:color="auto" w:fill="FFFFFF"/>
              </w:rPr>
              <w:t>Background paper for UNISDR Global Assessment Report 2015</w:t>
            </w:r>
          </w:p>
        </w:tc>
      </w:tr>
      <w:tr w:rsidR="003C2664" w:rsidRPr="000C7023" w14:paraId="1CF8CFD9" w14:textId="77777777" w:rsidTr="00C15992">
        <w:trPr>
          <w:trHeight w:val="284"/>
          <w:jc w:val="center"/>
        </w:trPr>
        <w:tc>
          <w:tcPr>
            <w:tcW w:w="1419" w:type="dxa"/>
            <w:gridSpan w:val="2"/>
            <w:shd w:val="clear" w:color="auto" w:fill="FFFFFF" w:themeFill="background1"/>
            <w:tcMar>
              <w:top w:w="57" w:type="dxa"/>
              <w:bottom w:w="57" w:type="dxa"/>
            </w:tcMar>
            <w:vAlign w:val="center"/>
          </w:tcPr>
          <w:p w14:paraId="24C99405" w14:textId="77777777" w:rsidR="003C2664" w:rsidRPr="000C7023" w:rsidRDefault="003C2664" w:rsidP="000C7023">
            <w:pPr>
              <w:tabs>
                <w:tab w:val="left" w:pos="360"/>
                <w:tab w:val="right" w:pos="9000"/>
              </w:tabs>
              <w:rPr>
                <w:sz w:val="22"/>
                <w:szCs w:val="22"/>
              </w:rPr>
            </w:pPr>
            <w:r w:rsidRPr="000C7023">
              <w:rPr>
                <w:sz w:val="22"/>
                <w:szCs w:val="22"/>
              </w:rPr>
              <w:t>2013</w:t>
            </w:r>
          </w:p>
        </w:tc>
        <w:tc>
          <w:tcPr>
            <w:tcW w:w="2693" w:type="dxa"/>
            <w:gridSpan w:val="2"/>
            <w:shd w:val="clear" w:color="auto" w:fill="FFFFFF" w:themeFill="background1"/>
            <w:vAlign w:val="center"/>
          </w:tcPr>
          <w:p w14:paraId="644051D1" w14:textId="77777777" w:rsidR="003C2664" w:rsidRPr="000C7023" w:rsidRDefault="003C2664" w:rsidP="000C7023">
            <w:pPr>
              <w:tabs>
                <w:tab w:val="left" w:pos="360"/>
                <w:tab w:val="right" w:pos="9000"/>
              </w:tabs>
              <w:rPr>
                <w:sz w:val="22"/>
                <w:szCs w:val="22"/>
              </w:rPr>
            </w:pPr>
            <w:r w:rsidRPr="000C7023">
              <w:rPr>
                <w:sz w:val="22"/>
                <w:szCs w:val="22"/>
              </w:rPr>
              <w:t xml:space="preserve">Various: </w:t>
            </w:r>
            <w:r w:rsidR="00DA3528" w:rsidRPr="000C7023">
              <w:rPr>
                <w:sz w:val="22"/>
                <w:szCs w:val="22"/>
              </w:rPr>
              <w:t>GIBSON.</w:t>
            </w:r>
            <w:r w:rsidRPr="000C7023">
              <w:rPr>
                <w:sz w:val="22"/>
                <w:szCs w:val="22"/>
              </w:rPr>
              <w:t xml:space="preserve"> T</w:t>
            </w:r>
            <w:r w:rsidR="00DA3528" w:rsidRPr="000C7023">
              <w:rPr>
                <w:sz w:val="22"/>
                <w:szCs w:val="22"/>
              </w:rPr>
              <w:t>. Lead author</w:t>
            </w:r>
          </w:p>
        </w:tc>
        <w:tc>
          <w:tcPr>
            <w:tcW w:w="4253" w:type="dxa"/>
            <w:gridSpan w:val="2"/>
            <w:shd w:val="clear" w:color="auto" w:fill="FFFFFF" w:themeFill="background1"/>
            <w:vAlign w:val="center"/>
          </w:tcPr>
          <w:p w14:paraId="128F9C24" w14:textId="77777777" w:rsidR="003C2664" w:rsidRPr="000C7023" w:rsidRDefault="00DA3528" w:rsidP="000C7023">
            <w:pPr>
              <w:tabs>
                <w:tab w:val="left" w:pos="360"/>
                <w:tab w:val="right" w:pos="9000"/>
              </w:tabs>
              <w:rPr>
                <w:i/>
                <w:sz w:val="22"/>
                <w:szCs w:val="22"/>
                <w:shd w:val="clear" w:color="auto" w:fill="FFFFFF"/>
              </w:rPr>
            </w:pPr>
            <w:r w:rsidRPr="000C7023">
              <w:rPr>
                <w:i/>
                <w:sz w:val="22"/>
                <w:szCs w:val="22"/>
                <w:shd w:val="clear" w:color="auto" w:fill="FFFFFF"/>
              </w:rPr>
              <w:t>Views from the Frontline: Beyond 2015</w:t>
            </w:r>
          </w:p>
        </w:tc>
        <w:tc>
          <w:tcPr>
            <w:tcW w:w="2409" w:type="dxa"/>
            <w:shd w:val="clear" w:color="auto" w:fill="FFFFFF" w:themeFill="background1"/>
            <w:vAlign w:val="center"/>
          </w:tcPr>
          <w:p w14:paraId="2A65C30F" w14:textId="77777777" w:rsidR="003C2664" w:rsidRPr="000C7023" w:rsidRDefault="00DA3528" w:rsidP="000C7023">
            <w:pPr>
              <w:tabs>
                <w:tab w:val="left" w:pos="360"/>
                <w:tab w:val="right" w:pos="9000"/>
              </w:tabs>
              <w:rPr>
                <w:sz w:val="22"/>
                <w:szCs w:val="22"/>
                <w:shd w:val="clear" w:color="auto" w:fill="FFFFFF"/>
              </w:rPr>
            </w:pPr>
            <w:r w:rsidRPr="000C7023">
              <w:rPr>
                <w:sz w:val="22"/>
                <w:szCs w:val="22"/>
                <w:shd w:val="clear" w:color="auto" w:fill="FFFFFF"/>
              </w:rPr>
              <w:t>Global Network for Disaster Reduction</w:t>
            </w:r>
          </w:p>
        </w:tc>
      </w:tr>
      <w:tr w:rsidR="00361A1B" w:rsidRPr="000C7023" w14:paraId="279D9707" w14:textId="77777777" w:rsidTr="00C15992">
        <w:trPr>
          <w:trHeight w:val="284"/>
          <w:jc w:val="center"/>
        </w:trPr>
        <w:tc>
          <w:tcPr>
            <w:tcW w:w="1419" w:type="dxa"/>
            <w:gridSpan w:val="2"/>
            <w:shd w:val="clear" w:color="auto" w:fill="FFFFFF" w:themeFill="background1"/>
            <w:tcMar>
              <w:top w:w="57" w:type="dxa"/>
              <w:bottom w:w="57" w:type="dxa"/>
            </w:tcMar>
            <w:vAlign w:val="center"/>
          </w:tcPr>
          <w:p w14:paraId="104A708E" w14:textId="77777777" w:rsidR="00361A1B" w:rsidRPr="000C7023" w:rsidRDefault="00361A1B" w:rsidP="000C7023">
            <w:pPr>
              <w:tabs>
                <w:tab w:val="left" w:pos="360"/>
                <w:tab w:val="right" w:pos="9000"/>
              </w:tabs>
              <w:rPr>
                <w:sz w:val="22"/>
                <w:szCs w:val="22"/>
              </w:rPr>
            </w:pPr>
            <w:r w:rsidRPr="000C7023">
              <w:rPr>
                <w:sz w:val="22"/>
                <w:szCs w:val="22"/>
              </w:rPr>
              <w:t>2013</w:t>
            </w:r>
          </w:p>
        </w:tc>
        <w:tc>
          <w:tcPr>
            <w:tcW w:w="2693" w:type="dxa"/>
            <w:gridSpan w:val="2"/>
            <w:shd w:val="clear" w:color="auto" w:fill="FFFFFF" w:themeFill="background1"/>
            <w:vAlign w:val="center"/>
          </w:tcPr>
          <w:p w14:paraId="12CCBE52" w14:textId="77777777" w:rsidR="00361A1B" w:rsidRPr="000C7023" w:rsidRDefault="00361A1B" w:rsidP="000C7023">
            <w:pPr>
              <w:tabs>
                <w:tab w:val="left" w:pos="360"/>
                <w:tab w:val="right" w:pos="9000"/>
              </w:tabs>
              <w:rPr>
                <w:sz w:val="22"/>
                <w:szCs w:val="22"/>
              </w:rPr>
            </w:pPr>
            <w:r w:rsidRPr="000C7023">
              <w:rPr>
                <w:sz w:val="22"/>
                <w:szCs w:val="22"/>
              </w:rPr>
              <w:t>GIBSON. T.</w:t>
            </w:r>
          </w:p>
        </w:tc>
        <w:tc>
          <w:tcPr>
            <w:tcW w:w="4253" w:type="dxa"/>
            <w:gridSpan w:val="2"/>
            <w:shd w:val="clear" w:color="auto" w:fill="FFFFFF" w:themeFill="background1"/>
            <w:vAlign w:val="center"/>
          </w:tcPr>
          <w:p w14:paraId="53AE153F" w14:textId="77777777" w:rsidR="00361A1B" w:rsidRPr="000C7023" w:rsidRDefault="00361A1B" w:rsidP="000C7023">
            <w:pPr>
              <w:tabs>
                <w:tab w:val="left" w:pos="360"/>
                <w:tab w:val="right" w:pos="9000"/>
              </w:tabs>
              <w:rPr>
                <w:i/>
                <w:sz w:val="22"/>
                <w:szCs w:val="22"/>
                <w:shd w:val="clear" w:color="auto" w:fill="FFFFFF"/>
              </w:rPr>
            </w:pPr>
            <w:r w:rsidRPr="000C7023">
              <w:rPr>
                <w:i/>
                <w:sz w:val="22"/>
                <w:szCs w:val="22"/>
                <w:shd w:val="clear" w:color="auto" w:fill="FFFFFF"/>
              </w:rPr>
              <w:t>Building community-led resilience: Enabling conditions to improve CSO capacities</w:t>
            </w:r>
          </w:p>
        </w:tc>
        <w:tc>
          <w:tcPr>
            <w:tcW w:w="2409" w:type="dxa"/>
            <w:shd w:val="clear" w:color="auto" w:fill="FFFFFF" w:themeFill="background1"/>
            <w:vAlign w:val="center"/>
          </w:tcPr>
          <w:p w14:paraId="5871FA56" w14:textId="77777777" w:rsidR="00361A1B" w:rsidRPr="000C7023" w:rsidRDefault="00361A1B" w:rsidP="000C7023">
            <w:pPr>
              <w:tabs>
                <w:tab w:val="left" w:pos="360"/>
                <w:tab w:val="right" w:pos="9000"/>
              </w:tabs>
              <w:rPr>
                <w:sz w:val="22"/>
                <w:szCs w:val="22"/>
                <w:shd w:val="clear" w:color="auto" w:fill="FFFFFF"/>
              </w:rPr>
            </w:pPr>
            <w:r w:rsidRPr="000C7023">
              <w:rPr>
                <w:sz w:val="22"/>
                <w:szCs w:val="22"/>
                <w:shd w:val="clear" w:color="auto" w:fill="FFFFFF"/>
              </w:rPr>
              <w:t>Civicus State of Civil Society Report 2013</w:t>
            </w:r>
          </w:p>
        </w:tc>
      </w:tr>
      <w:tr w:rsidR="00490EED" w:rsidRPr="000C7023" w14:paraId="4EEA8B9A" w14:textId="77777777" w:rsidTr="00C15992">
        <w:trPr>
          <w:trHeight w:val="284"/>
          <w:jc w:val="center"/>
        </w:trPr>
        <w:tc>
          <w:tcPr>
            <w:tcW w:w="1419" w:type="dxa"/>
            <w:gridSpan w:val="2"/>
            <w:shd w:val="clear" w:color="auto" w:fill="FFFFFF" w:themeFill="background1"/>
            <w:tcMar>
              <w:top w:w="57" w:type="dxa"/>
              <w:bottom w:w="57" w:type="dxa"/>
            </w:tcMar>
            <w:vAlign w:val="center"/>
          </w:tcPr>
          <w:p w14:paraId="63B79C97" w14:textId="77777777" w:rsidR="00490EED" w:rsidRPr="000C7023" w:rsidRDefault="00A566A7" w:rsidP="000C7023">
            <w:pPr>
              <w:tabs>
                <w:tab w:val="left" w:pos="360"/>
                <w:tab w:val="right" w:pos="9000"/>
              </w:tabs>
              <w:rPr>
                <w:rFonts w:cstheme="minorHAnsi"/>
                <w:b/>
                <w:bCs/>
                <w:sz w:val="22"/>
                <w:szCs w:val="22"/>
              </w:rPr>
            </w:pPr>
            <w:r w:rsidRPr="000C7023">
              <w:rPr>
                <w:sz w:val="22"/>
                <w:szCs w:val="22"/>
              </w:rPr>
              <w:t>2012</w:t>
            </w:r>
          </w:p>
        </w:tc>
        <w:tc>
          <w:tcPr>
            <w:tcW w:w="2693" w:type="dxa"/>
            <w:gridSpan w:val="2"/>
            <w:shd w:val="clear" w:color="auto" w:fill="FFFFFF" w:themeFill="background1"/>
            <w:vAlign w:val="center"/>
          </w:tcPr>
          <w:p w14:paraId="15FF3DC6" w14:textId="77777777" w:rsidR="00490EED" w:rsidRPr="000C7023" w:rsidRDefault="00A566A7" w:rsidP="000C7023">
            <w:pPr>
              <w:tabs>
                <w:tab w:val="left" w:pos="360"/>
                <w:tab w:val="right" w:pos="9000"/>
              </w:tabs>
              <w:rPr>
                <w:rFonts w:cstheme="minorHAnsi"/>
                <w:b/>
                <w:bCs/>
                <w:sz w:val="22"/>
                <w:szCs w:val="22"/>
              </w:rPr>
            </w:pPr>
            <w:r w:rsidRPr="000C7023">
              <w:rPr>
                <w:sz w:val="22"/>
                <w:szCs w:val="22"/>
              </w:rPr>
              <w:t>GIBSON. T.</w:t>
            </w:r>
          </w:p>
        </w:tc>
        <w:tc>
          <w:tcPr>
            <w:tcW w:w="4253" w:type="dxa"/>
            <w:gridSpan w:val="2"/>
            <w:shd w:val="clear" w:color="auto" w:fill="FFFFFF" w:themeFill="background1"/>
            <w:vAlign w:val="center"/>
          </w:tcPr>
          <w:p w14:paraId="7BF1A480" w14:textId="77777777" w:rsidR="00490EED" w:rsidRPr="000C7023" w:rsidRDefault="00A566A7" w:rsidP="000C7023">
            <w:pPr>
              <w:tabs>
                <w:tab w:val="left" w:pos="360"/>
                <w:tab w:val="right" w:pos="9000"/>
              </w:tabs>
              <w:rPr>
                <w:rFonts w:cstheme="minorHAnsi"/>
                <w:b/>
                <w:bCs/>
                <w:sz w:val="22"/>
                <w:szCs w:val="22"/>
              </w:rPr>
            </w:pPr>
            <w:r w:rsidRPr="000C7023">
              <w:rPr>
                <w:i/>
                <w:sz w:val="22"/>
                <w:szCs w:val="22"/>
                <w:shd w:val="clear" w:color="auto" w:fill="FFFFFF"/>
              </w:rPr>
              <w:t>Building collaboration through shared actions: The experience of the Global Network for Disaster Reduction</w:t>
            </w:r>
            <w:r w:rsidRPr="000C7023">
              <w:rPr>
                <w:sz w:val="22"/>
                <w:szCs w:val="22"/>
                <w:shd w:val="clear" w:color="auto" w:fill="FFFFFF"/>
              </w:rPr>
              <w:t xml:space="preserve">. </w:t>
            </w:r>
          </w:p>
        </w:tc>
        <w:tc>
          <w:tcPr>
            <w:tcW w:w="2409" w:type="dxa"/>
            <w:shd w:val="clear" w:color="auto" w:fill="FFFFFF" w:themeFill="background1"/>
            <w:vAlign w:val="center"/>
          </w:tcPr>
          <w:p w14:paraId="0040BEF6" w14:textId="77777777" w:rsidR="00490EED" w:rsidRPr="000C7023" w:rsidRDefault="00A566A7" w:rsidP="000C7023">
            <w:pPr>
              <w:tabs>
                <w:tab w:val="left" w:pos="360"/>
                <w:tab w:val="right" w:pos="9000"/>
              </w:tabs>
              <w:rPr>
                <w:rFonts w:cstheme="minorHAnsi"/>
                <w:b/>
                <w:bCs/>
                <w:sz w:val="22"/>
                <w:szCs w:val="22"/>
              </w:rPr>
            </w:pPr>
            <w:r w:rsidRPr="000C7023">
              <w:rPr>
                <w:sz w:val="22"/>
                <w:szCs w:val="22"/>
                <w:shd w:val="clear" w:color="auto" w:fill="FFFFFF"/>
              </w:rPr>
              <w:t>Jamba. Vol 4. No1</w:t>
            </w:r>
          </w:p>
        </w:tc>
      </w:tr>
      <w:tr w:rsidR="00490EED" w:rsidRPr="000C7023" w14:paraId="53FC3304" w14:textId="77777777" w:rsidTr="00C15992">
        <w:trPr>
          <w:trHeight w:val="284"/>
          <w:jc w:val="center"/>
        </w:trPr>
        <w:tc>
          <w:tcPr>
            <w:tcW w:w="1419" w:type="dxa"/>
            <w:gridSpan w:val="2"/>
            <w:shd w:val="clear" w:color="auto" w:fill="FFFFFF" w:themeFill="background1"/>
            <w:tcMar>
              <w:top w:w="57" w:type="dxa"/>
              <w:bottom w:w="57" w:type="dxa"/>
            </w:tcMar>
            <w:vAlign w:val="center"/>
          </w:tcPr>
          <w:p w14:paraId="16FA818B" w14:textId="77777777" w:rsidR="00490EED" w:rsidRPr="000C7023" w:rsidRDefault="00422696" w:rsidP="000C7023">
            <w:pPr>
              <w:tabs>
                <w:tab w:val="left" w:pos="360"/>
                <w:tab w:val="right" w:pos="9000"/>
              </w:tabs>
              <w:rPr>
                <w:rFonts w:cstheme="minorHAnsi"/>
                <w:bCs/>
                <w:sz w:val="22"/>
                <w:szCs w:val="22"/>
              </w:rPr>
            </w:pPr>
            <w:r w:rsidRPr="000C7023">
              <w:rPr>
                <w:rFonts w:cstheme="minorHAnsi"/>
                <w:bCs/>
                <w:sz w:val="22"/>
                <w:szCs w:val="22"/>
              </w:rPr>
              <w:t>2011</w:t>
            </w:r>
          </w:p>
        </w:tc>
        <w:tc>
          <w:tcPr>
            <w:tcW w:w="2693" w:type="dxa"/>
            <w:gridSpan w:val="2"/>
            <w:shd w:val="clear" w:color="auto" w:fill="FFFFFF" w:themeFill="background1"/>
            <w:vAlign w:val="center"/>
          </w:tcPr>
          <w:p w14:paraId="23487742" w14:textId="77777777" w:rsidR="00490EED" w:rsidRPr="000C7023" w:rsidRDefault="00422696" w:rsidP="000C7023">
            <w:pPr>
              <w:tabs>
                <w:tab w:val="left" w:pos="360"/>
                <w:tab w:val="right" w:pos="9000"/>
              </w:tabs>
              <w:rPr>
                <w:rFonts w:cstheme="minorHAnsi"/>
                <w:bCs/>
                <w:sz w:val="22"/>
                <w:szCs w:val="22"/>
              </w:rPr>
            </w:pPr>
            <w:r w:rsidRPr="000C7023">
              <w:rPr>
                <w:sz w:val="22"/>
                <w:szCs w:val="22"/>
              </w:rPr>
              <w:t>GIBSON. T.</w:t>
            </w:r>
            <w:r w:rsidR="00F50E25" w:rsidRPr="000C7023">
              <w:rPr>
                <w:sz w:val="22"/>
                <w:szCs w:val="22"/>
              </w:rPr>
              <w:t>, SCOTT,N</w:t>
            </w:r>
          </w:p>
        </w:tc>
        <w:tc>
          <w:tcPr>
            <w:tcW w:w="4253" w:type="dxa"/>
            <w:gridSpan w:val="2"/>
            <w:shd w:val="clear" w:color="auto" w:fill="FFFFFF" w:themeFill="background1"/>
            <w:vAlign w:val="center"/>
          </w:tcPr>
          <w:p w14:paraId="2E13D693" w14:textId="77777777" w:rsidR="00490EED" w:rsidRPr="000C7023" w:rsidRDefault="00422696" w:rsidP="000C7023">
            <w:pPr>
              <w:tabs>
                <w:tab w:val="left" w:pos="360"/>
                <w:tab w:val="right" w:pos="9000"/>
              </w:tabs>
              <w:rPr>
                <w:rFonts w:cstheme="minorHAnsi"/>
                <w:b/>
                <w:bCs/>
                <w:sz w:val="22"/>
                <w:szCs w:val="22"/>
              </w:rPr>
            </w:pPr>
            <w:r w:rsidRPr="000C7023">
              <w:rPr>
                <w:i/>
                <w:sz w:val="22"/>
                <w:szCs w:val="22"/>
              </w:rPr>
              <w:t>The Role of ICTs in Reducing the Policy Praxis Gap in the Climate Change Field</w:t>
            </w:r>
            <w:r w:rsidRPr="000C7023">
              <w:rPr>
                <w:sz w:val="22"/>
                <w:szCs w:val="22"/>
              </w:rPr>
              <w:t>.</w:t>
            </w:r>
          </w:p>
        </w:tc>
        <w:tc>
          <w:tcPr>
            <w:tcW w:w="2409" w:type="dxa"/>
            <w:shd w:val="clear" w:color="auto" w:fill="FFFFFF" w:themeFill="background1"/>
            <w:vAlign w:val="center"/>
          </w:tcPr>
          <w:p w14:paraId="4A1B96B3" w14:textId="77777777" w:rsidR="00422696" w:rsidRPr="000C7023" w:rsidRDefault="00422696" w:rsidP="000C7023">
            <w:pPr>
              <w:pStyle w:val="biblio"/>
              <w:rPr>
                <w:szCs w:val="22"/>
              </w:rPr>
            </w:pPr>
            <w:r w:rsidRPr="000C7023">
              <w:rPr>
                <w:szCs w:val="22"/>
              </w:rPr>
              <w:t>NICCD case study series, Manchester University.</w:t>
            </w:r>
          </w:p>
          <w:p w14:paraId="1F712DF1" w14:textId="77777777" w:rsidR="007913D3" w:rsidRPr="000C7023" w:rsidRDefault="007913D3" w:rsidP="000C7023">
            <w:pPr>
              <w:tabs>
                <w:tab w:val="left" w:pos="360"/>
                <w:tab w:val="right" w:pos="9000"/>
              </w:tabs>
              <w:rPr>
                <w:rFonts w:cstheme="minorHAnsi"/>
                <w:b/>
                <w:bCs/>
                <w:sz w:val="22"/>
                <w:szCs w:val="22"/>
              </w:rPr>
            </w:pPr>
          </w:p>
        </w:tc>
      </w:tr>
      <w:tr w:rsidR="007913D3" w:rsidRPr="000C7023" w14:paraId="145D5E56" w14:textId="77777777" w:rsidTr="00C15992">
        <w:trPr>
          <w:trHeight w:val="284"/>
          <w:jc w:val="center"/>
        </w:trPr>
        <w:tc>
          <w:tcPr>
            <w:tcW w:w="1419" w:type="dxa"/>
            <w:gridSpan w:val="2"/>
            <w:shd w:val="clear" w:color="auto" w:fill="FFFFFF" w:themeFill="background1"/>
            <w:tcMar>
              <w:top w:w="57" w:type="dxa"/>
              <w:bottom w:w="57" w:type="dxa"/>
            </w:tcMar>
            <w:vAlign w:val="center"/>
          </w:tcPr>
          <w:p w14:paraId="0D3E10B3" w14:textId="77777777" w:rsidR="007913D3" w:rsidRPr="000C7023" w:rsidRDefault="00422696" w:rsidP="000C7023">
            <w:pPr>
              <w:tabs>
                <w:tab w:val="left" w:pos="360"/>
                <w:tab w:val="right" w:pos="9000"/>
              </w:tabs>
              <w:rPr>
                <w:rFonts w:cstheme="minorHAnsi"/>
                <w:b/>
                <w:bCs/>
                <w:sz w:val="22"/>
                <w:szCs w:val="22"/>
              </w:rPr>
            </w:pPr>
            <w:r w:rsidRPr="000C7023">
              <w:rPr>
                <w:rFonts w:cstheme="minorHAnsi"/>
                <w:bCs/>
                <w:sz w:val="22"/>
                <w:szCs w:val="22"/>
              </w:rPr>
              <w:t>2011</w:t>
            </w:r>
          </w:p>
        </w:tc>
        <w:tc>
          <w:tcPr>
            <w:tcW w:w="2693" w:type="dxa"/>
            <w:gridSpan w:val="2"/>
            <w:shd w:val="clear" w:color="auto" w:fill="FFFFFF" w:themeFill="background1"/>
            <w:vAlign w:val="center"/>
          </w:tcPr>
          <w:p w14:paraId="21135A40" w14:textId="77777777" w:rsidR="007913D3" w:rsidRPr="000C7023" w:rsidRDefault="00422696" w:rsidP="000C7023">
            <w:pPr>
              <w:tabs>
                <w:tab w:val="left" w:pos="360"/>
                <w:tab w:val="right" w:pos="9000"/>
              </w:tabs>
              <w:rPr>
                <w:rFonts w:cstheme="minorHAnsi"/>
                <w:b/>
                <w:bCs/>
                <w:sz w:val="22"/>
                <w:szCs w:val="22"/>
              </w:rPr>
            </w:pPr>
            <w:r w:rsidRPr="000C7023">
              <w:rPr>
                <w:sz w:val="22"/>
                <w:szCs w:val="22"/>
              </w:rPr>
              <w:t>GIBSON. T.</w:t>
            </w:r>
          </w:p>
        </w:tc>
        <w:tc>
          <w:tcPr>
            <w:tcW w:w="4253" w:type="dxa"/>
            <w:gridSpan w:val="2"/>
            <w:shd w:val="clear" w:color="auto" w:fill="FFFFFF" w:themeFill="background1"/>
            <w:vAlign w:val="center"/>
          </w:tcPr>
          <w:p w14:paraId="7E7A1E11" w14:textId="77777777" w:rsidR="007913D3" w:rsidRPr="000C7023" w:rsidRDefault="00422696" w:rsidP="000C7023">
            <w:pPr>
              <w:tabs>
                <w:tab w:val="left" w:pos="360"/>
                <w:tab w:val="right" w:pos="9000"/>
              </w:tabs>
              <w:rPr>
                <w:rFonts w:cstheme="minorHAnsi"/>
                <w:b/>
                <w:bCs/>
                <w:sz w:val="22"/>
                <w:szCs w:val="22"/>
              </w:rPr>
            </w:pPr>
            <w:r w:rsidRPr="000C7023">
              <w:rPr>
                <w:i/>
                <w:sz w:val="22"/>
                <w:szCs w:val="22"/>
              </w:rPr>
              <w:t>Action and change in an emerging network.</w:t>
            </w:r>
          </w:p>
        </w:tc>
        <w:tc>
          <w:tcPr>
            <w:tcW w:w="2409" w:type="dxa"/>
            <w:shd w:val="clear" w:color="auto" w:fill="FFFFFF" w:themeFill="background1"/>
            <w:vAlign w:val="center"/>
          </w:tcPr>
          <w:p w14:paraId="2DE063B2" w14:textId="77777777" w:rsidR="007913D3" w:rsidRPr="000C7023" w:rsidRDefault="00004DEA" w:rsidP="000C7023">
            <w:pPr>
              <w:tabs>
                <w:tab w:val="left" w:pos="360"/>
                <w:tab w:val="right" w:pos="9000"/>
              </w:tabs>
              <w:rPr>
                <w:rFonts w:cstheme="minorHAnsi"/>
                <w:b/>
                <w:bCs/>
                <w:sz w:val="22"/>
                <w:szCs w:val="22"/>
              </w:rPr>
            </w:pPr>
            <w:r w:rsidRPr="000C7023">
              <w:rPr>
                <w:sz w:val="22"/>
                <w:szCs w:val="22"/>
              </w:rPr>
              <w:t>Humanitarian exchange. Issue 50.</w:t>
            </w:r>
          </w:p>
        </w:tc>
      </w:tr>
      <w:tr w:rsidR="007913D3" w:rsidRPr="000C7023" w14:paraId="4895285A" w14:textId="77777777" w:rsidTr="00C15992">
        <w:trPr>
          <w:trHeight w:val="284"/>
          <w:jc w:val="center"/>
        </w:trPr>
        <w:tc>
          <w:tcPr>
            <w:tcW w:w="1419" w:type="dxa"/>
            <w:gridSpan w:val="2"/>
            <w:shd w:val="clear" w:color="auto" w:fill="FFFFFF" w:themeFill="background1"/>
            <w:tcMar>
              <w:top w:w="57" w:type="dxa"/>
              <w:bottom w:w="57" w:type="dxa"/>
            </w:tcMar>
            <w:vAlign w:val="center"/>
          </w:tcPr>
          <w:p w14:paraId="5CF8C555" w14:textId="77777777" w:rsidR="007913D3" w:rsidRPr="000C7023" w:rsidRDefault="00422696" w:rsidP="000C7023">
            <w:pPr>
              <w:tabs>
                <w:tab w:val="left" w:pos="360"/>
                <w:tab w:val="right" w:pos="9000"/>
              </w:tabs>
              <w:rPr>
                <w:rFonts w:cstheme="minorHAnsi"/>
                <w:b/>
                <w:bCs/>
                <w:sz w:val="22"/>
                <w:szCs w:val="22"/>
              </w:rPr>
            </w:pPr>
            <w:r w:rsidRPr="000C7023">
              <w:rPr>
                <w:rFonts w:cstheme="minorHAnsi"/>
                <w:bCs/>
                <w:sz w:val="22"/>
                <w:szCs w:val="22"/>
              </w:rPr>
              <w:t>2011</w:t>
            </w:r>
          </w:p>
        </w:tc>
        <w:tc>
          <w:tcPr>
            <w:tcW w:w="2693" w:type="dxa"/>
            <w:gridSpan w:val="2"/>
            <w:shd w:val="clear" w:color="auto" w:fill="FFFFFF" w:themeFill="background1"/>
            <w:vAlign w:val="center"/>
          </w:tcPr>
          <w:p w14:paraId="4EB741A4" w14:textId="77777777" w:rsidR="007913D3" w:rsidRPr="000C7023" w:rsidRDefault="00422696" w:rsidP="000C7023">
            <w:pPr>
              <w:tabs>
                <w:tab w:val="left" w:pos="360"/>
                <w:tab w:val="right" w:pos="9000"/>
              </w:tabs>
              <w:rPr>
                <w:rFonts w:cstheme="minorHAnsi"/>
                <w:b/>
                <w:bCs/>
                <w:sz w:val="22"/>
                <w:szCs w:val="22"/>
              </w:rPr>
            </w:pPr>
            <w:r w:rsidRPr="000C7023">
              <w:rPr>
                <w:sz w:val="22"/>
                <w:szCs w:val="22"/>
              </w:rPr>
              <w:t>GIBSON. T.</w:t>
            </w:r>
          </w:p>
        </w:tc>
        <w:tc>
          <w:tcPr>
            <w:tcW w:w="4253" w:type="dxa"/>
            <w:gridSpan w:val="2"/>
            <w:shd w:val="clear" w:color="auto" w:fill="FFFFFF" w:themeFill="background1"/>
            <w:vAlign w:val="center"/>
          </w:tcPr>
          <w:p w14:paraId="675E22C4" w14:textId="77777777" w:rsidR="007913D3" w:rsidRPr="000C7023" w:rsidRDefault="00004DEA" w:rsidP="000C7023">
            <w:pPr>
              <w:tabs>
                <w:tab w:val="left" w:pos="360"/>
                <w:tab w:val="right" w:pos="9000"/>
              </w:tabs>
              <w:rPr>
                <w:rFonts w:cstheme="minorHAnsi"/>
                <w:b/>
                <w:bCs/>
                <w:sz w:val="22"/>
                <w:szCs w:val="22"/>
              </w:rPr>
            </w:pPr>
            <w:r w:rsidRPr="000C7023">
              <w:rPr>
                <w:rFonts w:cs="Arial"/>
                <w:i/>
                <w:sz w:val="22"/>
                <w:szCs w:val="22"/>
              </w:rPr>
              <w:t>It's all one</w:t>
            </w:r>
            <w:r w:rsidRPr="000C7023">
              <w:rPr>
                <w:rFonts w:cs="Arial"/>
                <w:sz w:val="22"/>
                <w:szCs w:val="22"/>
              </w:rPr>
              <w:t>.</w:t>
            </w:r>
          </w:p>
        </w:tc>
        <w:tc>
          <w:tcPr>
            <w:tcW w:w="2409" w:type="dxa"/>
            <w:shd w:val="clear" w:color="auto" w:fill="FFFFFF" w:themeFill="background1"/>
            <w:vAlign w:val="center"/>
          </w:tcPr>
          <w:p w14:paraId="2168B284" w14:textId="77777777" w:rsidR="007913D3" w:rsidRPr="000C7023" w:rsidRDefault="00004DEA" w:rsidP="000C7023">
            <w:pPr>
              <w:tabs>
                <w:tab w:val="left" w:pos="360"/>
                <w:tab w:val="right" w:pos="9000"/>
              </w:tabs>
              <w:rPr>
                <w:rFonts w:cstheme="minorHAnsi"/>
                <w:b/>
                <w:bCs/>
                <w:sz w:val="22"/>
                <w:szCs w:val="22"/>
              </w:rPr>
            </w:pPr>
            <w:r w:rsidRPr="000C7023">
              <w:rPr>
                <w:rFonts w:cs="Arial"/>
                <w:sz w:val="22"/>
                <w:szCs w:val="22"/>
              </w:rPr>
              <w:t>Paper presented at Development Studies Association Annual Conference, York, 2011</w:t>
            </w:r>
          </w:p>
        </w:tc>
      </w:tr>
      <w:tr w:rsidR="007913D3" w:rsidRPr="000C7023" w14:paraId="7D449530" w14:textId="77777777" w:rsidTr="00C15992">
        <w:trPr>
          <w:trHeight w:val="284"/>
          <w:jc w:val="center"/>
        </w:trPr>
        <w:tc>
          <w:tcPr>
            <w:tcW w:w="1419" w:type="dxa"/>
            <w:gridSpan w:val="2"/>
            <w:shd w:val="clear" w:color="auto" w:fill="FFFFFF" w:themeFill="background1"/>
            <w:tcMar>
              <w:top w:w="57" w:type="dxa"/>
              <w:bottom w:w="57" w:type="dxa"/>
            </w:tcMar>
            <w:vAlign w:val="center"/>
          </w:tcPr>
          <w:p w14:paraId="1D39D997" w14:textId="77777777" w:rsidR="007913D3" w:rsidRPr="000C7023" w:rsidRDefault="00422696" w:rsidP="000C7023">
            <w:pPr>
              <w:tabs>
                <w:tab w:val="left" w:pos="360"/>
                <w:tab w:val="right" w:pos="9000"/>
              </w:tabs>
              <w:rPr>
                <w:rFonts w:cstheme="minorHAnsi"/>
                <w:b/>
                <w:bCs/>
                <w:sz w:val="22"/>
                <w:szCs w:val="22"/>
              </w:rPr>
            </w:pPr>
            <w:r w:rsidRPr="000C7023">
              <w:rPr>
                <w:rFonts w:cstheme="minorHAnsi"/>
                <w:bCs/>
                <w:sz w:val="22"/>
                <w:szCs w:val="22"/>
              </w:rPr>
              <w:t>2011</w:t>
            </w:r>
          </w:p>
        </w:tc>
        <w:tc>
          <w:tcPr>
            <w:tcW w:w="2693" w:type="dxa"/>
            <w:gridSpan w:val="2"/>
            <w:shd w:val="clear" w:color="auto" w:fill="FFFFFF" w:themeFill="background1"/>
            <w:vAlign w:val="center"/>
          </w:tcPr>
          <w:p w14:paraId="4F5D47FA" w14:textId="77777777" w:rsidR="007913D3" w:rsidRPr="000C7023" w:rsidRDefault="00422696" w:rsidP="000C7023">
            <w:pPr>
              <w:tabs>
                <w:tab w:val="left" w:pos="360"/>
                <w:tab w:val="right" w:pos="9000"/>
              </w:tabs>
              <w:rPr>
                <w:rFonts w:cstheme="minorHAnsi"/>
                <w:b/>
                <w:bCs/>
                <w:sz w:val="22"/>
                <w:szCs w:val="22"/>
              </w:rPr>
            </w:pPr>
            <w:r w:rsidRPr="000C7023">
              <w:rPr>
                <w:sz w:val="22"/>
                <w:szCs w:val="22"/>
              </w:rPr>
              <w:t>GIBSON. T.</w:t>
            </w:r>
          </w:p>
        </w:tc>
        <w:tc>
          <w:tcPr>
            <w:tcW w:w="4253" w:type="dxa"/>
            <w:gridSpan w:val="2"/>
            <w:shd w:val="clear" w:color="auto" w:fill="FFFFFF" w:themeFill="background1"/>
            <w:vAlign w:val="center"/>
          </w:tcPr>
          <w:p w14:paraId="489F1EA8" w14:textId="77777777" w:rsidR="007913D3" w:rsidRPr="000C7023" w:rsidRDefault="00004DEA" w:rsidP="000C7023">
            <w:pPr>
              <w:tabs>
                <w:tab w:val="left" w:pos="360"/>
                <w:tab w:val="right" w:pos="9000"/>
              </w:tabs>
              <w:rPr>
                <w:rFonts w:cstheme="minorHAnsi"/>
                <w:b/>
                <w:bCs/>
                <w:sz w:val="22"/>
                <w:szCs w:val="22"/>
              </w:rPr>
            </w:pPr>
            <w:r w:rsidRPr="000C7023">
              <w:rPr>
                <w:i/>
                <w:sz w:val="22"/>
                <w:szCs w:val="22"/>
              </w:rPr>
              <w:t>Building collaboration through shared actions.</w:t>
            </w:r>
          </w:p>
        </w:tc>
        <w:tc>
          <w:tcPr>
            <w:tcW w:w="2409" w:type="dxa"/>
            <w:shd w:val="clear" w:color="auto" w:fill="FFFFFF" w:themeFill="background1"/>
            <w:vAlign w:val="center"/>
          </w:tcPr>
          <w:p w14:paraId="1B67EEE5" w14:textId="77777777" w:rsidR="007913D3" w:rsidRPr="000C7023" w:rsidRDefault="00004DEA" w:rsidP="000C7023">
            <w:pPr>
              <w:tabs>
                <w:tab w:val="left" w:pos="360"/>
                <w:tab w:val="right" w:pos="9000"/>
              </w:tabs>
              <w:rPr>
                <w:rFonts w:cstheme="minorHAnsi"/>
                <w:b/>
                <w:bCs/>
                <w:sz w:val="22"/>
                <w:szCs w:val="22"/>
              </w:rPr>
            </w:pPr>
            <w:r w:rsidRPr="000C7023">
              <w:rPr>
                <w:sz w:val="22"/>
                <w:szCs w:val="22"/>
              </w:rPr>
              <w:t>Paper presented at World Humanitarian Conference, 2011: Boston.</w:t>
            </w:r>
          </w:p>
        </w:tc>
      </w:tr>
      <w:tr w:rsidR="00DA3528" w:rsidRPr="000C7023" w14:paraId="08799E46" w14:textId="77777777" w:rsidTr="00C15992">
        <w:trPr>
          <w:trHeight w:val="284"/>
          <w:jc w:val="center"/>
        </w:trPr>
        <w:tc>
          <w:tcPr>
            <w:tcW w:w="1419" w:type="dxa"/>
            <w:gridSpan w:val="2"/>
            <w:shd w:val="clear" w:color="auto" w:fill="FFFFFF" w:themeFill="background1"/>
            <w:tcMar>
              <w:top w:w="57" w:type="dxa"/>
              <w:bottom w:w="57" w:type="dxa"/>
            </w:tcMar>
            <w:vAlign w:val="center"/>
          </w:tcPr>
          <w:p w14:paraId="4B1C5603" w14:textId="77777777" w:rsidR="00DA3528" w:rsidRPr="000C7023" w:rsidRDefault="00DA3528" w:rsidP="000C7023">
            <w:pPr>
              <w:tabs>
                <w:tab w:val="left" w:pos="360"/>
                <w:tab w:val="right" w:pos="9000"/>
              </w:tabs>
              <w:rPr>
                <w:sz w:val="22"/>
                <w:szCs w:val="22"/>
              </w:rPr>
            </w:pPr>
            <w:r w:rsidRPr="000C7023">
              <w:rPr>
                <w:sz w:val="22"/>
                <w:szCs w:val="22"/>
              </w:rPr>
              <w:t>2011</w:t>
            </w:r>
          </w:p>
        </w:tc>
        <w:tc>
          <w:tcPr>
            <w:tcW w:w="2693" w:type="dxa"/>
            <w:gridSpan w:val="2"/>
            <w:shd w:val="clear" w:color="auto" w:fill="FFFFFF" w:themeFill="background1"/>
            <w:vAlign w:val="center"/>
          </w:tcPr>
          <w:p w14:paraId="191C896F" w14:textId="77777777" w:rsidR="00DA3528" w:rsidRPr="000C7023" w:rsidRDefault="00DA3528" w:rsidP="000C7023">
            <w:pPr>
              <w:tabs>
                <w:tab w:val="left" w:pos="360"/>
                <w:tab w:val="right" w:pos="9000"/>
              </w:tabs>
              <w:rPr>
                <w:sz w:val="22"/>
                <w:szCs w:val="22"/>
              </w:rPr>
            </w:pPr>
            <w:r w:rsidRPr="000C7023">
              <w:rPr>
                <w:sz w:val="22"/>
                <w:szCs w:val="22"/>
              </w:rPr>
              <w:t>Various: GIBSON. T. Lead author</w:t>
            </w:r>
          </w:p>
        </w:tc>
        <w:tc>
          <w:tcPr>
            <w:tcW w:w="4253" w:type="dxa"/>
            <w:gridSpan w:val="2"/>
            <w:shd w:val="clear" w:color="auto" w:fill="FFFFFF" w:themeFill="background1"/>
            <w:vAlign w:val="center"/>
          </w:tcPr>
          <w:p w14:paraId="76D120B7" w14:textId="77777777" w:rsidR="00DA3528" w:rsidRPr="000C7023" w:rsidRDefault="006B692A" w:rsidP="000C7023">
            <w:pPr>
              <w:tabs>
                <w:tab w:val="left" w:pos="360"/>
                <w:tab w:val="right" w:pos="9000"/>
              </w:tabs>
              <w:rPr>
                <w:i/>
                <w:sz w:val="22"/>
                <w:szCs w:val="22"/>
                <w:shd w:val="clear" w:color="auto" w:fill="FFFFFF"/>
              </w:rPr>
            </w:pPr>
            <w:r w:rsidRPr="000C7023">
              <w:rPr>
                <w:i/>
                <w:sz w:val="22"/>
                <w:szCs w:val="22"/>
                <w:shd w:val="clear" w:color="auto" w:fill="FFFFFF"/>
              </w:rPr>
              <w:t xml:space="preserve">If we do not join hands: </w:t>
            </w:r>
            <w:r w:rsidR="00DA3528" w:rsidRPr="000C7023">
              <w:rPr>
                <w:i/>
                <w:sz w:val="22"/>
                <w:szCs w:val="22"/>
                <w:shd w:val="clear" w:color="auto" w:fill="FFFFFF"/>
              </w:rPr>
              <w:t>Views from the Frontline</w:t>
            </w:r>
          </w:p>
        </w:tc>
        <w:tc>
          <w:tcPr>
            <w:tcW w:w="2409" w:type="dxa"/>
            <w:shd w:val="clear" w:color="auto" w:fill="FFFFFF" w:themeFill="background1"/>
            <w:vAlign w:val="center"/>
          </w:tcPr>
          <w:p w14:paraId="4FE111ED" w14:textId="77777777" w:rsidR="00DA3528" w:rsidRPr="000C7023" w:rsidRDefault="00DA3528" w:rsidP="000C7023">
            <w:pPr>
              <w:tabs>
                <w:tab w:val="left" w:pos="360"/>
                <w:tab w:val="right" w:pos="9000"/>
              </w:tabs>
              <w:rPr>
                <w:sz w:val="22"/>
                <w:szCs w:val="22"/>
                <w:shd w:val="clear" w:color="auto" w:fill="FFFFFF"/>
              </w:rPr>
            </w:pPr>
            <w:r w:rsidRPr="000C7023">
              <w:rPr>
                <w:sz w:val="22"/>
                <w:szCs w:val="22"/>
                <w:shd w:val="clear" w:color="auto" w:fill="FFFFFF"/>
              </w:rPr>
              <w:t>Global Network for Disaster Reduction</w:t>
            </w:r>
          </w:p>
        </w:tc>
      </w:tr>
      <w:tr w:rsidR="00422696" w:rsidRPr="000C7023" w14:paraId="4E19430E" w14:textId="77777777" w:rsidTr="00C15992">
        <w:trPr>
          <w:trHeight w:val="284"/>
          <w:jc w:val="center"/>
        </w:trPr>
        <w:tc>
          <w:tcPr>
            <w:tcW w:w="1419" w:type="dxa"/>
            <w:gridSpan w:val="2"/>
            <w:shd w:val="clear" w:color="auto" w:fill="FFFFFF" w:themeFill="background1"/>
            <w:tcMar>
              <w:top w:w="57" w:type="dxa"/>
              <w:bottom w:w="57" w:type="dxa"/>
            </w:tcMar>
            <w:vAlign w:val="center"/>
          </w:tcPr>
          <w:p w14:paraId="3CB9897E" w14:textId="77777777" w:rsidR="00422696" w:rsidRPr="000C7023" w:rsidRDefault="00004DEA" w:rsidP="000C7023">
            <w:pPr>
              <w:tabs>
                <w:tab w:val="left" w:pos="360"/>
                <w:tab w:val="right" w:pos="9000"/>
              </w:tabs>
              <w:rPr>
                <w:rFonts w:cstheme="minorHAnsi"/>
                <w:bCs/>
                <w:sz w:val="22"/>
                <w:szCs w:val="22"/>
              </w:rPr>
            </w:pPr>
            <w:r w:rsidRPr="000C7023">
              <w:rPr>
                <w:rFonts w:cstheme="minorHAnsi"/>
                <w:bCs/>
                <w:sz w:val="22"/>
                <w:szCs w:val="22"/>
              </w:rPr>
              <w:t>2010</w:t>
            </w:r>
          </w:p>
        </w:tc>
        <w:tc>
          <w:tcPr>
            <w:tcW w:w="2693" w:type="dxa"/>
            <w:gridSpan w:val="2"/>
            <w:shd w:val="clear" w:color="auto" w:fill="FFFFFF" w:themeFill="background1"/>
            <w:vAlign w:val="center"/>
          </w:tcPr>
          <w:p w14:paraId="34DC8B1A" w14:textId="77777777" w:rsidR="00422696" w:rsidRPr="000C7023" w:rsidRDefault="00004DEA" w:rsidP="000C7023">
            <w:pPr>
              <w:tabs>
                <w:tab w:val="left" w:pos="360"/>
                <w:tab w:val="right" w:pos="9000"/>
              </w:tabs>
              <w:rPr>
                <w:sz w:val="22"/>
                <w:szCs w:val="22"/>
              </w:rPr>
            </w:pPr>
            <w:r w:rsidRPr="000C7023">
              <w:rPr>
                <w:sz w:val="22"/>
                <w:szCs w:val="22"/>
              </w:rPr>
              <w:t>GIBSON. T.</w:t>
            </w:r>
          </w:p>
        </w:tc>
        <w:tc>
          <w:tcPr>
            <w:tcW w:w="4253" w:type="dxa"/>
            <w:gridSpan w:val="2"/>
            <w:shd w:val="clear" w:color="auto" w:fill="FFFFFF" w:themeFill="background1"/>
            <w:vAlign w:val="center"/>
          </w:tcPr>
          <w:p w14:paraId="0BD1469B" w14:textId="77777777" w:rsidR="00422696" w:rsidRPr="000C7023" w:rsidRDefault="00004DEA" w:rsidP="000C7023">
            <w:pPr>
              <w:tabs>
                <w:tab w:val="left" w:pos="360"/>
                <w:tab w:val="right" w:pos="9000"/>
              </w:tabs>
              <w:rPr>
                <w:rFonts w:cstheme="minorHAnsi"/>
                <w:b/>
                <w:bCs/>
                <w:sz w:val="22"/>
                <w:szCs w:val="22"/>
              </w:rPr>
            </w:pPr>
            <w:r w:rsidRPr="000C7023">
              <w:rPr>
                <w:rFonts w:cs="Arial"/>
                <w:i/>
                <w:sz w:val="22"/>
                <w:szCs w:val="22"/>
              </w:rPr>
              <w:t>It's not just the data</w:t>
            </w:r>
            <w:r w:rsidRPr="000C7023">
              <w:rPr>
                <w:rFonts w:cs="Arial"/>
                <w:sz w:val="22"/>
                <w:szCs w:val="22"/>
              </w:rPr>
              <w:t>.</w:t>
            </w:r>
          </w:p>
        </w:tc>
        <w:tc>
          <w:tcPr>
            <w:tcW w:w="2409" w:type="dxa"/>
            <w:shd w:val="clear" w:color="auto" w:fill="FFFFFF" w:themeFill="background1"/>
            <w:vAlign w:val="center"/>
          </w:tcPr>
          <w:p w14:paraId="768E59D5" w14:textId="77777777" w:rsidR="00422696" w:rsidRPr="000C7023" w:rsidRDefault="00004DEA" w:rsidP="000C7023">
            <w:pPr>
              <w:tabs>
                <w:tab w:val="left" w:pos="360"/>
                <w:tab w:val="right" w:pos="9000"/>
              </w:tabs>
              <w:rPr>
                <w:rFonts w:cstheme="minorHAnsi"/>
                <w:b/>
                <w:bCs/>
                <w:sz w:val="22"/>
                <w:szCs w:val="22"/>
              </w:rPr>
            </w:pPr>
            <w:r w:rsidRPr="000C7023">
              <w:rPr>
                <w:rFonts w:cs="Arial"/>
                <w:sz w:val="22"/>
                <w:szCs w:val="22"/>
              </w:rPr>
              <w:t>Proceedings of ISCRAM conference. Seattle, May 2010.</w:t>
            </w:r>
          </w:p>
        </w:tc>
      </w:tr>
    </w:tbl>
    <w:p w14:paraId="3A2E4189" w14:textId="77777777" w:rsidR="00490EED" w:rsidRPr="000C7023" w:rsidRDefault="00490EED" w:rsidP="000C7023">
      <w:pPr>
        <w:ind w:right="-631"/>
        <w:rPr>
          <w:sz w:val="22"/>
          <w:szCs w:val="22"/>
        </w:rPr>
      </w:pPr>
    </w:p>
    <w:sectPr w:rsidR="00490EED" w:rsidRPr="000C7023" w:rsidSect="007275A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E07F9"/>
    <w:multiLevelType w:val="hybridMultilevel"/>
    <w:tmpl w:val="2C5C28A4"/>
    <w:lvl w:ilvl="0" w:tplc="8918D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C66902">
      <w:start w:val="1"/>
      <w:numFmt w:val="bullet"/>
      <w:pStyle w:val="ListParagraph"/>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ED"/>
    <w:rsid w:val="00004DEA"/>
    <w:rsid w:val="000464E3"/>
    <w:rsid w:val="000C7023"/>
    <w:rsid w:val="001861AC"/>
    <w:rsid w:val="0019471B"/>
    <w:rsid w:val="00290278"/>
    <w:rsid w:val="002E2F1D"/>
    <w:rsid w:val="00361A1B"/>
    <w:rsid w:val="0037742D"/>
    <w:rsid w:val="003905C6"/>
    <w:rsid w:val="003B4E2E"/>
    <w:rsid w:val="003C2664"/>
    <w:rsid w:val="003D63EC"/>
    <w:rsid w:val="00422696"/>
    <w:rsid w:val="00490EED"/>
    <w:rsid w:val="00626E0C"/>
    <w:rsid w:val="006B692A"/>
    <w:rsid w:val="006C433C"/>
    <w:rsid w:val="007275AC"/>
    <w:rsid w:val="007913D3"/>
    <w:rsid w:val="00793AF9"/>
    <w:rsid w:val="007D0A07"/>
    <w:rsid w:val="008062CD"/>
    <w:rsid w:val="008F01B8"/>
    <w:rsid w:val="0093704E"/>
    <w:rsid w:val="00A343E6"/>
    <w:rsid w:val="00A566A7"/>
    <w:rsid w:val="00C0655A"/>
    <w:rsid w:val="00C15992"/>
    <w:rsid w:val="00C72364"/>
    <w:rsid w:val="00CE49AE"/>
    <w:rsid w:val="00D2041C"/>
    <w:rsid w:val="00D51686"/>
    <w:rsid w:val="00D86174"/>
    <w:rsid w:val="00DA3528"/>
    <w:rsid w:val="00DC4B12"/>
    <w:rsid w:val="00E00F5B"/>
    <w:rsid w:val="00E615A8"/>
    <w:rsid w:val="00E67473"/>
    <w:rsid w:val="00EA32A9"/>
    <w:rsid w:val="00F26E92"/>
    <w:rsid w:val="00F3050C"/>
    <w:rsid w:val="00F3501A"/>
    <w:rsid w:val="00F50E25"/>
    <w:rsid w:val="00FD7AE9"/>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53D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EED"/>
    <w:rPr>
      <w:rFonts w:ascii="Arial" w:eastAsia="Times New Roman" w:hAnsi="Arial" w:cs="Times New Roman"/>
      <w:lang w:eastAsia="en-US"/>
    </w:rPr>
  </w:style>
  <w:style w:type="paragraph" w:styleId="Heading1">
    <w:name w:val="heading 1"/>
    <w:basedOn w:val="Normal"/>
    <w:next w:val="Normal"/>
    <w:link w:val="Heading1Char"/>
    <w:uiPriority w:val="9"/>
    <w:qFormat/>
    <w:rsid w:val="006C433C"/>
    <w:pPr>
      <w:keepNext/>
      <w:keepLines/>
      <w:spacing w:before="480"/>
      <w:outlineLvl w:val="0"/>
    </w:pPr>
    <w:rPr>
      <w:rFonts w:ascii="Calibri" w:hAnsi="Calibri"/>
      <w:b/>
      <w:bCs/>
      <w:color w:val="345A8A"/>
      <w:sz w:val="36"/>
      <w:szCs w:val="32"/>
      <w:lang w:eastAsia="ja-JP"/>
    </w:rPr>
  </w:style>
  <w:style w:type="paragraph" w:styleId="Heading2">
    <w:name w:val="heading 2"/>
    <w:basedOn w:val="Normal"/>
    <w:next w:val="Normal"/>
    <w:link w:val="Heading2Char"/>
    <w:autoRedefine/>
    <w:uiPriority w:val="9"/>
    <w:unhideWhenUsed/>
    <w:qFormat/>
    <w:rsid w:val="00E615A8"/>
    <w:pPr>
      <w:keepNext/>
      <w:keepLines/>
      <w:spacing w:before="200"/>
      <w:outlineLvl w:val="1"/>
    </w:pPr>
    <w:rPr>
      <w:rFonts w:ascii="Calibri" w:hAnsi="Calibri" w:cstheme="minorBidi"/>
      <w:b/>
      <w:bCs/>
      <w:sz w:val="32"/>
      <w:szCs w:val="26"/>
      <w:lang w:eastAsia="ja-JP"/>
    </w:rPr>
  </w:style>
  <w:style w:type="paragraph" w:styleId="Heading3">
    <w:name w:val="heading 3"/>
    <w:basedOn w:val="Normal"/>
    <w:next w:val="Normal"/>
    <w:link w:val="Heading3Char"/>
    <w:autoRedefine/>
    <w:uiPriority w:val="9"/>
    <w:unhideWhenUsed/>
    <w:qFormat/>
    <w:rsid w:val="001861AC"/>
    <w:pPr>
      <w:keepNext/>
      <w:keepLines/>
      <w:spacing w:before="200" w:line="360" w:lineRule="auto"/>
      <w:outlineLvl w:val="2"/>
    </w:pPr>
    <w:rPr>
      <w:rFonts w:cstheme="minorBidi"/>
      <w:b/>
      <w:bCs/>
      <w:lang w:eastAsia="ja-JP"/>
    </w:rPr>
  </w:style>
  <w:style w:type="paragraph" w:styleId="Heading4">
    <w:name w:val="heading 4"/>
    <w:basedOn w:val="Heading3"/>
    <w:next w:val="Normal"/>
    <w:link w:val="Heading4Char"/>
    <w:autoRedefine/>
    <w:rsid w:val="00C0655A"/>
    <w:pPr>
      <w:spacing w:before="240" w:after="60"/>
      <w:outlineLvl w:val="3"/>
    </w:pPr>
    <w:rPr>
      <w:rFonts w:eastAsiaTheme="minorEastAsia"/>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cialLifeComment">
    <w:name w:val="Social Life Comment"/>
    <w:basedOn w:val="Heading3"/>
    <w:next w:val="Normal"/>
    <w:qFormat/>
    <w:rsid w:val="00290278"/>
    <w:rPr>
      <w:i/>
    </w:rPr>
  </w:style>
  <w:style w:type="character" w:customStyle="1" w:styleId="Heading3Char">
    <w:name w:val="Heading 3 Char"/>
    <w:basedOn w:val="DefaultParagraphFont"/>
    <w:link w:val="Heading3"/>
    <w:uiPriority w:val="9"/>
    <w:rsid w:val="001861AC"/>
    <w:rPr>
      <w:rFonts w:ascii="Arial" w:eastAsia="Times New Roman" w:hAnsi="Arial"/>
      <w:b/>
      <w:bCs/>
    </w:rPr>
  </w:style>
  <w:style w:type="character" w:customStyle="1" w:styleId="Heading1Char">
    <w:name w:val="Heading 1 Char"/>
    <w:basedOn w:val="DefaultParagraphFont"/>
    <w:link w:val="Heading1"/>
    <w:uiPriority w:val="9"/>
    <w:rsid w:val="006C433C"/>
    <w:rPr>
      <w:rFonts w:ascii="Calibri" w:eastAsia="Times New Roman" w:hAnsi="Calibri" w:cs="Times New Roman"/>
      <w:b/>
      <w:bCs/>
      <w:color w:val="345A8A"/>
      <w:sz w:val="36"/>
      <w:szCs w:val="32"/>
    </w:rPr>
  </w:style>
  <w:style w:type="character" w:customStyle="1" w:styleId="Heading2Char">
    <w:name w:val="Heading 2 Char"/>
    <w:basedOn w:val="DefaultParagraphFont"/>
    <w:link w:val="Heading2"/>
    <w:uiPriority w:val="9"/>
    <w:rsid w:val="00E615A8"/>
    <w:rPr>
      <w:rFonts w:ascii="Calibri" w:eastAsia="Times New Roman" w:hAnsi="Calibri"/>
      <w:b/>
      <w:bCs/>
      <w:sz w:val="32"/>
      <w:szCs w:val="26"/>
    </w:rPr>
  </w:style>
  <w:style w:type="character" w:customStyle="1" w:styleId="Heading4Char">
    <w:name w:val="Heading 4 Char"/>
    <w:basedOn w:val="DefaultParagraphFont"/>
    <w:link w:val="Heading4"/>
    <w:rsid w:val="00C0655A"/>
    <w:rPr>
      <w:rFonts w:ascii="Arial" w:eastAsiaTheme="minorEastAsia" w:hAnsi="Arial"/>
      <w:i/>
      <w:color w:val="4F81BD"/>
      <w:szCs w:val="28"/>
    </w:rPr>
  </w:style>
  <w:style w:type="paragraph" w:styleId="ListParagraph">
    <w:name w:val="List Paragraph"/>
    <w:basedOn w:val="Normal"/>
    <w:autoRedefine/>
    <w:uiPriority w:val="34"/>
    <w:qFormat/>
    <w:rsid w:val="001861AC"/>
    <w:pPr>
      <w:numPr>
        <w:ilvl w:val="2"/>
        <w:numId w:val="1"/>
      </w:numPr>
      <w:spacing w:after="200"/>
      <w:ind w:right="-755"/>
      <w:contextualSpacing/>
    </w:pPr>
    <w:rPr>
      <w:rFonts w:eastAsia="Cambria"/>
      <w:sz w:val="20"/>
      <w:szCs w:val="20"/>
    </w:rPr>
  </w:style>
  <w:style w:type="paragraph" w:styleId="BalloonText">
    <w:name w:val="Balloon Text"/>
    <w:basedOn w:val="Normal"/>
    <w:link w:val="BalloonTextChar"/>
    <w:uiPriority w:val="99"/>
    <w:semiHidden/>
    <w:unhideWhenUsed/>
    <w:rsid w:val="001861AC"/>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861AC"/>
    <w:rPr>
      <w:rFonts w:ascii="Lucida Grande" w:hAnsi="Lucida Grande" w:cs="Lucida Grande"/>
      <w:sz w:val="18"/>
      <w:szCs w:val="18"/>
    </w:rPr>
  </w:style>
  <w:style w:type="paragraph" w:customStyle="1" w:styleId="Default">
    <w:name w:val="Default"/>
    <w:rsid w:val="00490EED"/>
    <w:pPr>
      <w:autoSpaceDE w:val="0"/>
      <w:autoSpaceDN w:val="0"/>
      <w:adjustRightInd w:val="0"/>
    </w:pPr>
    <w:rPr>
      <w:rFonts w:ascii="Times New Roman" w:eastAsia="Times New Roman" w:hAnsi="Times New Roman" w:cs="Times New Roman"/>
      <w:color w:val="000000"/>
      <w:lang w:eastAsia="en-GB"/>
    </w:rPr>
  </w:style>
  <w:style w:type="paragraph" w:customStyle="1" w:styleId="biblio">
    <w:name w:val="biblio"/>
    <w:basedOn w:val="Normal"/>
    <w:qFormat/>
    <w:rsid w:val="00A566A7"/>
    <w:rPr>
      <w:rFonts w:eastAsia="Cambria"/>
      <w:sz w:val="22"/>
    </w:rPr>
  </w:style>
  <w:style w:type="character" w:styleId="Hyperlink">
    <w:name w:val="Hyperlink"/>
    <w:basedOn w:val="DefaultParagraphFont"/>
    <w:uiPriority w:val="99"/>
    <w:unhideWhenUsed/>
    <w:rsid w:val="002E2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3435">
      <w:bodyDiv w:val="1"/>
      <w:marLeft w:val="0"/>
      <w:marRight w:val="0"/>
      <w:marTop w:val="0"/>
      <w:marBottom w:val="0"/>
      <w:divBdr>
        <w:top w:val="none" w:sz="0" w:space="0" w:color="auto"/>
        <w:left w:val="none" w:sz="0" w:space="0" w:color="auto"/>
        <w:bottom w:val="none" w:sz="0" w:space="0" w:color="auto"/>
        <w:right w:val="none" w:sz="0" w:space="0" w:color="auto"/>
      </w:divBdr>
    </w:div>
    <w:div w:id="1477337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rry.gibson@inventing-futur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4014</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gibson</dc:creator>
  <cp:keywords/>
  <dc:description/>
  <cp:lastModifiedBy>Terry Gibson</cp:lastModifiedBy>
  <cp:revision>3</cp:revision>
  <dcterms:created xsi:type="dcterms:W3CDTF">2017-10-04T14:33:00Z</dcterms:created>
  <dcterms:modified xsi:type="dcterms:W3CDTF">2017-11-09T10:11:00Z</dcterms:modified>
</cp:coreProperties>
</file>